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0652" w:rsidRPr="0052548E" w:rsidRDefault="002D0652" w:rsidP="002D0652">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Pr="00ED1732">
        <w:rPr>
          <w:rFonts w:ascii="Arial" w:hAnsi="Arial"/>
          <w:b/>
          <w:sz w:val="28"/>
        </w:rPr>
        <w:t>#</w:t>
      </w:r>
      <w:r>
        <w:rPr>
          <w:rFonts w:ascii="Arial" w:hAnsi="Arial" w:cs="Arial"/>
          <w:b/>
          <w:bCs/>
          <w:sz w:val="28"/>
        </w:rPr>
        <w:t>91</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Pr>
          <w:rFonts w:ascii="Arial" w:hAnsi="Arial" w:cs="Arial"/>
          <w:b/>
          <w:bCs/>
          <w:sz w:val="28"/>
        </w:rPr>
        <w:tab/>
        <w:t>R1-1</w:t>
      </w:r>
      <w:r w:rsidR="00F4313C">
        <w:rPr>
          <w:rFonts w:ascii="Arial" w:eastAsia="MS Mincho" w:hAnsi="Arial" w:cs="Arial"/>
          <w:b/>
          <w:bCs/>
          <w:sz w:val="28"/>
          <w:lang w:eastAsia="ja-JP"/>
        </w:rPr>
        <w:t>719647</w:t>
      </w:r>
    </w:p>
    <w:p w:rsidR="002D0652" w:rsidRPr="009513AC" w:rsidRDefault="002D0652" w:rsidP="002D065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xml:space="preserve"> 2017</w:t>
      </w:r>
    </w:p>
    <w:p w:rsidR="004353EE" w:rsidRPr="000A64D8" w:rsidRDefault="004353EE" w:rsidP="004353EE">
      <w:pPr>
        <w:pStyle w:val="Footer"/>
        <w:jc w:val="both"/>
        <w:rPr>
          <w:noProof w:val="0"/>
        </w:rPr>
      </w:pPr>
    </w:p>
    <w:p w:rsidR="004353EE" w:rsidRPr="000A64D8" w:rsidRDefault="004353EE" w:rsidP="004353EE">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C5917">
        <w:rPr>
          <w:rFonts w:ascii="Arial" w:hAnsi="Arial"/>
          <w:sz w:val="24"/>
        </w:rPr>
        <w:t>7.3.3.</w:t>
      </w:r>
      <w:r w:rsidR="007B2DF9" w:rsidRPr="007B2DF9">
        <w:rPr>
          <w:rFonts w:ascii="Arial" w:hAnsi="Arial"/>
          <w:sz w:val="24"/>
        </w:rPr>
        <w:t>1</w:t>
      </w:r>
      <w:r>
        <w:rPr>
          <w:rFonts w:ascii="Arial" w:hAnsi="Arial"/>
          <w:sz w:val="24"/>
        </w:rPr>
        <w:tab/>
      </w:r>
    </w:p>
    <w:p w:rsidR="004353EE" w:rsidRPr="001D7377" w:rsidRDefault="004353EE" w:rsidP="004353E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4353EE" w:rsidRPr="003570F9" w:rsidRDefault="004353EE" w:rsidP="004353EE">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60537" w:rsidRPr="00560537">
        <w:rPr>
          <w:rFonts w:ascii="Arial" w:hAnsi="Arial"/>
          <w:sz w:val="22"/>
        </w:rPr>
        <w:t>Remaining details on DL</w:t>
      </w:r>
      <w:r w:rsidR="00560537">
        <w:rPr>
          <w:rFonts w:ascii="Arial" w:hAnsi="Arial"/>
          <w:sz w:val="22"/>
        </w:rPr>
        <w:t>/</w:t>
      </w:r>
      <w:r w:rsidR="00560537" w:rsidRPr="00560537">
        <w:rPr>
          <w:rFonts w:ascii="Arial" w:hAnsi="Arial"/>
          <w:sz w:val="22"/>
        </w:rPr>
        <w:t>UL resource allocation</w:t>
      </w:r>
    </w:p>
    <w:p w:rsidR="004353EE" w:rsidRDefault="004353EE" w:rsidP="004353EE">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1E6B93" w:rsidRDefault="008C7323" w:rsidP="001E6B93">
      <w:pPr>
        <w:jc w:val="both"/>
        <w:rPr>
          <w:sz w:val="24"/>
          <w:szCs w:val="24"/>
        </w:rPr>
      </w:pPr>
      <w:r w:rsidRPr="0005671C">
        <w:rPr>
          <w:sz w:val="24"/>
          <w:szCs w:val="24"/>
          <w:lang w:val="en-GB"/>
        </w:rPr>
        <w:t>I</w:t>
      </w:r>
      <w:r w:rsidR="001D7377" w:rsidRPr="0005671C">
        <w:rPr>
          <w:sz w:val="24"/>
          <w:szCs w:val="24"/>
        </w:rPr>
        <w:t>n RAN</w:t>
      </w:r>
      <w:r w:rsidRPr="0005671C">
        <w:rPr>
          <w:sz w:val="24"/>
          <w:szCs w:val="24"/>
        </w:rPr>
        <w:t xml:space="preserve"> #71, a new study item New Radio (NR) Access Technology was approved. </w:t>
      </w:r>
      <w:r w:rsidR="008761F5">
        <w:rPr>
          <w:sz w:val="24"/>
          <w:szCs w:val="24"/>
        </w:rPr>
        <w:t xml:space="preserve"> In the last meeting, the </w:t>
      </w:r>
      <w:r w:rsidR="00016CFC">
        <w:rPr>
          <w:sz w:val="24"/>
          <w:szCs w:val="24"/>
        </w:rPr>
        <w:t xml:space="preserve">following agreements were made. </w:t>
      </w:r>
    </w:p>
    <w:p w:rsidR="008761F5" w:rsidRPr="008761F5" w:rsidRDefault="008761F5" w:rsidP="008761F5">
      <w:pPr>
        <w:rPr>
          <w:b/>
          <w:sz w:val="24"/>
          <w:u w:val="single"/>
        </w:rPr>
      </w:pPr>
      <w:r w:rsidRPr="008761F5">
        <w:rPr>
          <w:b/>
          <w:sz w:val="24"/>
          <w:highlight w:val="green"/>
          <w:u w:val="single"/>
        </w:rPr>
        <w:t>Agreements</w:t>
      </w:r>
      <w:r w:rsidRPr="008761F5">
        <w:rPr>
          <w:b/>
          <w:sz w:val="24"/>
          <w:u w:val="single"/>
        </w:rPr>
        <w:t>:</w:t>
      </w:r>
    </w:p>
    <w:p w:rsidR="008761F5" w:rsidRPr="00D83702" w:rsidRDefault="008761F5" w:rsidP="008761F5">
      <w:pPr>
        <w:pStyle w:val="BodyText"/>
        <w:numPr>
          <w:ilvl w:val="0"/>
          <w:numId w:val="18"/>
        </w:numPr>
        <w:overflowPunct/>
        <w:autoSpaceDE/>
        <w:autoSpaceDN/>
        <w:adjustRightInd/>
        <w:textAlignment w:val="auto"/>
        <w:rPr>
          <w:rFonts w:ascii="Times New Roman" w:hAnsi="Times New Roman"/>
          <w:sz w:val="20"/>
        </w:rPr>
      </w:pPr>
      <w:r w:rsidRPr="00D83702">
        <w:rPr>
          <w:rFonts w:ascii="Times New Roman" w:hAnsi="Times New Roman"/>
          <w:sz w:val="20"/>
        </w:rPr>
        <w:t>For both slot and mini-slot, the scheduling DCI can provide an index into a UE-specific table giving the OFDM symbols used for the PDSCH (or PUSCH) transmission</w:t>
      </w:r>
    </w:p>
    <w:p w:rsidR="008761F5" w:rsidRPr="00D83702" w:rsidRDefault="008761F5" w:rsidP="008761F5">
      <w:pPr>
        <w:pStyle w:val="BodyText"/>
        <w:numPr>
          <w:ilvl w:val="1"/>
          <w:numId w:val="18"/>
        </w:numPr>
        <w:overflowPunct/>
        <w:autoSpaceDE/>
        <w:autoSpaceDN/>
        <w:adjustRightInd/>
        <w:textAlignment w:val="auto"/>
        <w:rPr>
          <w:rFonts w:ascii="Times New Roman" w:hAnsi="Times New Roman"/>
          <w:sz w:val="20"/>
        </w:rPr>
      </w:pPr>
      <w:r w:rsidRPr="00D83702">
        <w:rPr>
          <w:rFonts w:ascii="Times New Roman" w:hAnsi="Times New Roman"/>
          <w:sz w:val="20"/>
        </w:rPr>
        <w:t>starting OFDM symbol and length in OFDM symbols of the allocation</w:t>
      </w:r>
    </w:p>
    <w:p w:rsidR="008761F5" w:rsidRPr="00D83702" w:rsidRDefault="008761F5" w:rsidP="008761F5">
      <w:pPr>
        <w:pStyle w:val="BodyText"/>
        <w:numPr>
          <w:ilvl w:val="1"/>
          <w:numId w:val="18"/>
        </w:numPr>
        <w:overflowPunct/>
        <w:autoSpaceDE/>
        <w:autoSpaceDN/>
        <w:adjustRightInd/>
        <w:textAlignment w:val="auto"/>
        <w:rPr>
          <w:rFonts w:ascii="Times New Roman" w:hAnsi="Times New Roman"/>
          <w:sz w:val="20"/>
        </w:rPr>
      </w:pPr>
      <w:r w:rsidRPr="00D83702">
        <w:rPr>
          <w:rFonts w:ascii="Times New Roman" w:hAnsi="Times New Roman"/>
          <w:sz w:val="20"/>
        </w:rPr>
        <w:t>FFS: one or more tables</w:t>
      </w:r>
    </w:p>
    <w:p w:rsidR="008761F5" w:rsidRPr="00D83702" w:rsidRDefault="008761F5" w:rsidP="008761F5">
      <w:pPr>
        <w:pStyle w:val="BodyText"/>
        <w:numPr>
          <w:ilvl w:val="1"/>
          <w:numId w:val="18"/>
        </w:numPr>
        <w:overflowPunct/>
        <w:autoSpaceDE/>
        <w:autoSpaceDN/>
        <w:adjustRightInd/>
        <w:textAlignment w:val="auto"/>
        <w:rPr>
          <w:rFonts w:ascii="Times New Roman" w:hAnsi="Times New Roman"/>
          <w:sz w:val="20"/>
        </w:rPr>
      </w:pPr>
      <w:r w:rsidRPr="00D83702">
        <w:rPr>
          <w:rFonts w:ascii="Times New Roman" w:hAnsi="Times New Roman"/>
          <w:sz w:val="20"/>
        </w:rPr>
        <w:t>FFS: including the slots used in case of multi-slot/multi-mini-slot scheduling or slot index for cross-slot scheduling</w:t>
      </w:r>
    </w:p>
    <w:p w:rsidR="008761F5" w:rsidRPr="00D83702" w:rsidRDefault="008761F5" w:rsidP="008761F5">
      <w:pPr>
        <w:pStyle w:val="BodyText"/>
        <w:numPr>
          <w:ilvl w:val="1"/>
          <w:numId w:val="18"/>
        </w:numPr>
        <w:overflowPunct/>
        <w:autoSpaceDE/>
        <w:autoSpaceDN/>
        <w:adjustRightInd/>
        <w:textAlignment w:val="auto"/>
        <w:rPr>
          <w:rFonts w:ascii="Times New Roman" w:hAnsi="Times New Roman"/>
          <w:sz w:val="20"/>
        </w:rPr>
      </w:pPr>
      <w:r w:rsidRPr="00D83702">
        <w:rPr>
          <w:rFonts w:ascii="Times New Roman" w:hAnsi="Times New Roman"/>
          <w:sz w:val="20"/>
        </w:rPr>
        <w:t>FFS: May need to revisit if SFI support non-contiguous allocations</w:t>
      </w:r>
    </w:p>
    <w:p w:rsidR="008761F5" w:rsidRPr="00D83702" w:rsidRDefault="008761F5" w:rsidP="008761F5">
      <w:pPr>
        <w:pStyle w:val="BodyText"/>
        <w:numPr>
          <w:ilvl w:val="0"/>
          <w:numId w:val="18"/>
        </w:numPr>
        <w:overflowPunct/>
        <w:autoSpaceDE/>
        <w:autoSpaceDN/>
        <w:adjustRightInd/>
        <w:textAlignment w:val="auto"/>
        <w:rPr>
          <w:rFonts w:ascii="Times New Roman" w:hAnsi="Times New Roman"/>
          <w:sz w:val="20"/>
        </w:rPr>
      </w:pPr>
      <w:r w:rsidRPr="00D83702">
        <w:rPr>
          <w:rFonts w:ascii="Times New Roman" w:hAnsi="Times New Roman"/>
          <w:sz w:val="20"/>
        </w:rPr>
        <w:t>At least for RMSI scheduling</w:t>
      </w:r>
    </w:p>
    <w:p w:rsidR="008761F5" w:rsidRPr="00D83702" w:rsidRDefault="008761F5" w:rsidP="008761F5">
      <w:pPr>
        <w:pStyle w:val="BodyText"/>
        <w:numPr>
          <w:ilvl w:val="1"/>
          <w:numId w:val="18"/>
        </w:numPr>
        <w:overflowPunct/>
        <w:autoSpaceDE/>
        <w:autoSpaceDN/>
        <w:adjustRightInd/>
        <w:textAlignment w:val="auto"/>
        <w:rPr>
          <w:rFonts w:ascii="Times New Roman" w:hAnsi="Times New Roman"/>
          <w:sz w:val="20"/>
        </w:rPr>
      </w:pPr>
      <w:r w:rsidRPr="00D83702">
        <w:rPr>
          <w:rFonts w:ascii="Times New Roman" w:hAnsi="Times New Roman"/>
          <w:sz w:val="20"/>
        </w:rPr>
        <w:t>At least one table entry needs to be fixed in the spec</w:t>
      </w:r>
    </w:p>
    <w:p w:rsidR="008761F5" w:rsidRDefault="008761F5" w:rsidP="001E6B93">
      <w:pPr>
        <w:jc w:val="both"/>
        <w:rPr>
          <w:sz w:val="24"/>
          <w:szCs w:val="24"/>
          <w:lang w:val="en-GB"/>
        </w:rPr>
      </w:pPr>
    </w:p>
    <w:p w:rsidR="00215F33" w:rsidRPr="00215F33" w:rsidRDefault="00215F33" w:rsidP="00215F33">
      <w:pPr>
        <w:rPr>
          <w:b/>
          <w:sz w:val="24"/>
          <w:highlight w:val="green"/>
          <w:u w:val="single"/>
        </w:rPr>
      </w:pPr>
      <w:r w:rsidRPr="00215F33">
        <w:rPr>
          <w:b/>
          <w:sz w:val="24"/>
          <w:highlight w:val="green"/>
          <w:u w:val="single"/>
        </w:rPr>
        <w:t>Agreements:</w:t>
      </w:r>
    </w:p>
    <w:p w:rsidR="00215F33" w:rsidRPr="00B76953" w:rsidRDefault="00215F33" w:rsidP="00215F33">
      <w:pPr>
        <w:numPr>
          <w:ilvl w:val="0"/>
          <w:numId w:val="22"/>
        </w:numPr>
        <w:overflowPunct/>
        <w:autoSpaceDE/>
        <w:autoSpaceDN/>
        <w:adjustRightInd/>
        <w:spacing w:after="0"/>
        <w:textAlignment w:val="auto"/>
      </w:pPr>
      <w:r w:rsidRPr="00B76953">
        <w:t>For every TB-level (re-)transmission, the UE is able to determine the TB size from the DCI information in that transmission only</w:t>
      </w:r>
    </w:p>
    <w:p w:rsidR="00215F33" w:rsidRDefault="00215F33" w:rsidP="00215F33">
      <w:pPr>
        <w:rPr>
          <w:sz w:val="36"/>
        </w:rPr>
      </w:pPr>
    </w:p>
    <w:p w:rsidR="00215F33" w:rsidRPr="00215F33" w:rsidRDefault="00215F33" w:rsidP="00215F33">
      <w:pPr>
        <w:rPr>
          <w:b/>
          <w:sz w:val="24"/>
          <w:u w:val="single"/>
        </w:rPr>
      </w:pPr>
      <w:r w:rsidRPr="00215F33">
        <w:rPr>
          <w:b/>
          <w:sz w:val="24"/>
          <w:highlight w:val="green"/>
          <w:u w:val="single"/>
        </w:rPr>
        <w:t>Agreements</w:t>
      </w:r>
      <w:r w:rsidRPr="00215F33">
        <w:rPr>
          <w:b/>
          <w:sz w:val="24"/>
          <w:u w:val="single"/>
        </w:rPr>
        <w:t>:</w:t>
      </w:r>
    </w:p>
    <w:p w:rsidR="00215F33" w:rsidRPr="00402FFB" w:rsidRDefault="00215F33" w:rsidP="00215F33">
      <w:pPr>
        <w:numPr>
          <w:ilvl w:val="0"/>
          <w:numId w:val="22"/>
        </w:numPr>
        <w:overflowPunct/>
        <w:autoSpaceDE/>
        <w:autoSpaceDN/>
        <w:adjustRightInd/>
        <w:spacing w:after="0"/>
        <w:textAlignment w:val="auto"/>
      </w:pPr>
      <w:r w:rsidRPr="00402FFB">
        <w:t>The TBS is determined based on the actual # of available REs compared with a plurality of reference # of REs</w:t>
      </w:r>
    </w:p>
    <w:p w:rsidR="00215F33" w:rsidRPr="00402FFB" w:rsidRDefault="00215F33" w:rsidP="00215F33">
      <w:pPr>
        <w:numPr>
          <w:ilvl w:val="1"/>
          <w:numId w:val="22"/>
        </w:numPr>
        <w:overflowPunct/>
        <w:autoSpaceDE/>
        <w:autoSpaceDN/>
        <w:adjustRightInd/>
        <w:spacing w:after="0"/>
        <w:textAlignment w:val="auto"/>
      </w:pPr>
      <w:r w:rsidRPr="00402FFB">
        <w:t>FFS the details, including the # of reference REs and other factors for TBS determination</w:t>
      </w:r>
    </w:p>
    <w:p w:rsidR="00215F33" w:rsidRDefault="00215F33" w:rsidP="00215F33">
      <w:pPr>
        <w:rPr>
          <w:sz w:val="36"/>
        </w:rPr>
      </w:pPr>
    </w:p>
    <w:p w:rsidR="00215F33" w:rsidRPr="00C75DF9" w:rsidRDefault="00215F33" w:rsidP="00215F33">
      <w:r w:rsidRPr="00215F33">
        <w:rPr>
          <w:b/>
          <w:sz w:val="24"/>
          <w:highlight w:val="green"/>
          <w:u w:val="single"/>
        </w:rPr>
        <w:t>Agreements</w:t>
      </w:r>
      <w:r w:rsidRPr="00C75DF9">
        <w:t>:</w:t>
      </w:r>
    </w:p>
    <w:p w:rsidR="00215F33" w:rsidRPr="00C75DF9" w:rsidRDefault="00215F33" w:rsidP="00215F33">
      <w:pPr>
        <w:numPr>
          <w:ilvl w:val="0"/>
          <w:numId w:val="22"/>
        </w:numPr>
        <w:overflowPunct/>
        <w:autoSpaceDE/>
        <w:autoSpaceDN/>
        <w:adjustRightInd/>
        <w:spacing w:after="0"/>
        <w:textAlignment w:val="auto"/>
        <w:rPr>
          <w:b/>
        </w:rPr>
      </w:pPr>
      <w:r w:rsidRPr="00C75DF9">
        <w:t>For the fallback DCI, only resource allocation type 1 is supported</w:t>
      </w:r>
    </w:p>
    <w:p w:rsidR="00215F33" w:rsidRPr="00C75DF9" w:rsidRDefault="00215F33" w:rsidP="00215F33">
      <w:pPr>
        <w:numPr>
          <w:ilvl w:val="1"/>
          <w:numId w:val="22"/>
        </w:numPr>
        <w:overflowPunct/>
        <w:autoSpaceDE/>
        <w:autoSpaceDN/>
        <w:adjustRightInd/>
        <w:spacing w:after="0"/>
        <w:textAlignment w:val="auto"/>
        <w:rPr>
          <w:b/>
        </w:rPr>
      </w:pPr>
      <w:r w:rsidRPr="00C75DF9">
        <w:t>At least with PRB-level granularity</w:t>
      </w:r>
    </w:p>
    <w:p w:rsidR="00215F33" w:rsidRPr="00C75DF9" w:rsidRDefault="00215F33" w:rsidP="00215F33">
      <w:pPr>
        <w:numPr>
          <w:ilvl w:val="1"/>
          <w:numId w:val="22"/>
        </w:numPr>
        <w:overflowPunct/>
        <w:autoSpaceDE/>
        <w:autoSpaceDN/>
        <w:adjustRightInd/>
        <w:spacing w:after="0"/>
        <w:textAlignment w:val="auto"/>
        <w:rPr>
          <w:b/>
        </w:rPr>
      </w:pPr>
      <w:r w:rsidRPr="00C75DF9">
        <w:t>FFS other granularty(ies)</w:t>
      </w:r>
    </w:p>
    <w:p w:rsidR="00215F33" w:rsidRPr="008761F5" w:rsidRDefault="00215F33" w:rsidP="001E6B93">
      <w:pPr>
        <w:jc w:val="both"/>
        <w:rPr>
          <w:sz w:val="24"/>
          <w:szCs w:val="24"/>
          <w:lang w:val="en-GB"/>
        </w:rPr>
      </w:pPr>
    </w:p>
    <w:p w:rsidR="008761F5" w:rsidRPr="008761F5" w:rsidRDefault="008761F5" w:rsidP="008761F5">
      <w:pPr>
        <w:rPr>
          <w:rFonts w:eastAsiaTheme="minorHAnsi"/>
          <w:b/>
          <w:sz w:val="24"/>
          <w:u w:val="single"/>
          <w:lang w:eastAsia="zh-CN"/>
        </w:rPr>
      </w:pPr>
      <w:r w:rsidRPr="008761F5">
        <w:rPr>
          <w:b/>
          <w:sz w:val="24"/>
          <w:highlight w:val="green"/>
          <w:u w:val="single"/>
          <w:lang w:eastAsia="zh-CN"/>
        </w:rPr>
        <w:t>Agreements</w:t>
      </w:r>
      <w:r w:rsidRPr="008761F5">
        <w:rPr>
          <w:b/>
          <w:sz w:val="24"/>
          <w:u w:val="single"/>
          <w:lang w:eastAsia="zh-CN"/>
        </w:rPr>
        <w:t>:</w:t>
      </w:r>
    </w:p>
    <w:p w:rsidR="008761F5" w:rsidRDefault="008761F5" w:rsidP="008761F5">
      <w:pPr>
        <w:numPr>
          <w:ilvl w:val="0"/>
          <w:numId w:val="21"/>
        </w:numPr>
        <w:overflowPunct/>
        <w:autoSpaceDE/>
        <w:autoSpaceDN/>
        <w:adjustRightInd/>
        <w:spacing w:after="0"/>
        <w:textAlignment w:val="auto"/>
        <w:rPr>
          <w:rFonts w:eastAsia="Times New Roman"/>
          <w:lang w:eastAsia="zh-CN"/>
        </w:rPr>
      </w:pPr>
      <w:r>
        <w:rPr>
          <w:rFonts w:eastAsia="Times New Roman"/>
          <w:lang w:eastAsia="zh-CN"/>
        </w:rPr>
        <w:lastRenderedPageBreak/>
        <w:t>The notion of VRB is included in the specifications.</w:t>
      </w:r>
    </w:p>
    <w:p w:rsidR="008761F5" w:rsidRDefault="008761F5" w:rsidP="008761F5">
      <w:pPr>
        <w:numPr>
          <w:ilvl w:val="0"/>
          <w:numId w:val="21"/>
        </w:numPr>
        <w:overflowPunct/>
        <w:autoSpaceDE/>
        <w:autoSpaceDN/>
        <w:adjustRightInd/>
        <w:spacing w:after="0"/>
        <w:textAlignment w:val="auto"/>
        <w:rPr>
          <w:rFonts w:eastAsia="Times New Roman"/>
          <w:lang w:eastAsia="zh-CN"/>
        </w:rPr>
      </w:pPr>
      <w:r>
        <w:rPr>
          <w:rFonts w:eastAsia="Times New Roman"/>
          <w:lang w:eastAsia="zh-CN"/>
        </w:rPr>
        <w:t xml:space="preserve">A non-transparent VRB-to-PRB mapping (i.e. PRB_i=VRB_j where j=f(i)) is supported </w:t>
      </w:r>
    </w:p>
    <w:p w:rsidR="008761F5" w:rsidRDefault="008761F5" w:rsidP="008761F5">
      <w:pPr>
        <w:numPr>
          <w:ilvl w:val="1"/>
          <w:numId w:val="21"/>
        </w:numPr>
        <w:overflowPunct/>
        <w:autoSpaceDE/>
        <w:autoSpaceDN/>
        <w:adjustRightInd/>
        <w:spacing w:after="0"/>
        <w:textAlignment w:val="auto"/>
        <w:rPr>
          <w:rFonts w:eastAsia="Times New Roman"/>
          <w:lang w:eastAsia="zh-CN"/>
        </w:rPr>
      </w:pPr>
      <w:r>
        <w:rPr>
          <w:rFonts w:eastAsia="Times New Roman"/>
          <w:lang w:eastAsia="zh-CN"/>
        </w:rPr>
        <w:t>At least for resource allocation type 1</w:t>
      </w:r>
    </w:p>
    <w:p w:rsidR="008761F5" w:rsidRDefault="008761F5" w:rsidP="008761F5">
      <w:pPr>
        <w:numPr>
          <w:ilvl w:val="1"/>
          <w:numId w:val="21"/>
        </w:numPr>
        <w:overflowPunct/>
        <w:autoSpaceDE/>
        <w:autoSpaceDN/>
        <w:adjustRightInd/>
        <w:spacing w:after="0"/>
        <w:textAlignment w:val="auto"/>
        <w:rPr>
          <w:rFonts w:eastAsia="Times New Roman"/>
          <w:lang w:eastAsia="zh-CN"/>
        </w:rPr>
      </w:pPr>
      <w:r>
        <w:rPr>
          <w:rFonts w:eastAsia="Times New Roman"/>
          <w:lang w:eastAsia="zh-CN"/>
        </w:rPr>
        <w:t>Discuss further whether to support it also for resource allocation type 0</w:t>
      </w:r>
    </w:p>
    <w:p w:rsidR="008761F5" w:rsidRDefault="008761F5" w:rsidP="008761F5">
      <w:pPr>
        <w:numPr>
          <w:ilvl w:val="0"/>
          <w:numId w:val="21"/>
        </w:numPr>
        <w:overflowPunct/>
        <w:autoSpaceDE/>
        <w:autoSpaceDN/>
        <w:adjustRightInd/>
        <w:spacing w:after="0"/>
        <w:textAlignment w:val="auto"/>
        <w:rPr>
          <w:rFonts w:eastAsia="Times New Roman"/>
          <w:lang w:eastAsia="zh-CN"/>
        </w:rPr>
      </w:pPr>
      <w:r>
        <w:rPr>
          <w:rFonts w:eastAsia="Times New Roman"/>
          <w:lang w:eastAsia="zh-CN"/>
        </w:rPr>
        <w:t xml:space="preserve">At least a block-interleaver is used for VRB-to-PRB mapping </w:t>
      </w:r>
    </w:p>
    <w:p w:rsidR="008761F5" w:rsidRDefault="008761F5" w:rsidP="008761F5">
      <w:pPr>
        <w:numPr>
          <w:ilvl w:val="1"/>
          <w:numId w:val="21"/>
        </w:numPr>
        <w:overflowPunct/>
        <w:autoSpaceDE/>
        <w:autoSpaceDN/>
        <w:adjustRightInd/>
        <w:spacing w:after="0"/>
        <w:textAlignment w:val="auto"/>
        <w:rPr>
          <w:rFonts w:eastAsia="Times New Roman"/>
          <w:lang w:eastAsia="zh-CN"/>
        </w:rPr>
      </w:pPr>
      <w:r>
        <w:rPr>
          <w:rFonts w:eastAsia="Times New Roman"/>
          <w:lang w:eastAsia="zh-CN"/>
        </w:rPr>
        <w:t>FFS the details</w:t>
      </w:r>
    </w:p>
    <w:p w:rsidR="008761F5" w:rsidRDefault="008761F5" w:rsidP="008761F5">
      <w:pPr>
        <w:numPr>
          <w:ilvl w:val="0"/>
          <w:numId w:val="21"/>
        </w:numPr>
        <w:overflowPunct/>
        <w:autoSpaceDE/>
        <w:autoSpaceDN/>
        <w:adjustRightInd/>
        <w:spacing w:after="0"/>
        <w:textAlignment w:val="auto"/>
        <w:rPr>
          <w:rFonts w:eastAsia="Times New Roman"/>
          <w:lang w:eastAsia="zh-CN"/>
        </w:rPr>
      </w:pPr>
      <w:r>
        <w:rPr>
          <w:rFonts w:eastAsia="Times New Roman"/>
          <w:lang w:eastAsia="zh-CN"/>
        </w:rPr>
        <w:t>A single bit in the DCI indicates localized or distributed VRB-to-PRB mapping.</w:t>
      </w:r>
    </w:p>
    <w:p w:rsidR="001E6B93" w:rsidRDefault="001E6B93" w:rsidP="001E6B93">
      <w:pPr>
        <w:pStyle w:val="maintext"/>
        <w:ind w:firstLine="180"/>
        <w:rPr>
          <w:rFonts w:ascii="Calibri" w:hAnsi="Calibri"/>
        </w:rPr>
      </w:pPr>
    </w:p>
    <w:p w:rsidR="00215F33" w:rsidRPr="00215F33" w:rsidRDefault="00215F33" w:rsidP="00215F33">
      <w:pPr>
        <w:pStyle w:val="maintext"/>
        <w:ind w:firstLine="0"/>
        <w:rPr>
          <w:rFonts w:ascii="Times New Roman" w:hAnsi="Times New Roman" w:cs="Times New Roman"/>
          <w:sz w:val="24"/>
        </w:rPr>
      </w:pPr>
      <w:r w:rsidRPr="00215F33">
        <w:rPr>
          <w:rFonts w:ascii="Times New Roman" w:hAnsi="Times New Roman" w:cs="Times New Roman"/>
          <w:sz w:val="24"/>
        </w:rPr>
        <w:t xml:space="preserve">In this contribution we provide our views on resource allocation for </w:t>
      </w:r>
      <w:r>
        <w:rPr>
          <w:rFonts w:ascii="Times New Roman" w:hAnsi="Times New Roman" w:cs="Times New Roman"/>
          <w:sz w:val="24"/>
        </w:rPr>
        <w:t>slot based and mini slot based transmissions. In addition, we provide our views on VRB-to-PRB mapping for PDSCH and PUSCH.</w:t>
      </w:r>
    </w:p>
    <w:p w:rsidR="00052A68" w:rsidRDefault="00215F33" w:rsidP="00215DBE">
      <w:pPr>
        <w:pStyle w:val="Heading1"/>
      </w:pPr>
      <w:r>
        <w:t>Resource Allocation for Mini S</w:t>
      </w:r>
      <w:r w:rsidR="004A105B">
        <w:t xml:space="preserve">lot/Slot based transmissions </w:t>
      </w:r>
    </w:p>
    <w:p w:rsidR="004A105B" w:rsidRPr="00215F33" w:rsidRDefault="004A105B" w:rsidP="008761F5">
      <w:pPr>
        <w:pStyle w:val="maintext"/>
        <w:ind w:firstLine="0"/>
        <w:rPr>
          <w:rFonts w:ascii="Times New Roman" w:hAnsi="Times New Roman" w:cs="Times New Roman"/>
          <w:sz w:val="24"/>
          <w:lang w:val="en-GB"/>
        </w:rPr>
      </w:pPr>
      <w:r w:rsidRPr="00215F33">
        <w:rPr>
          <w:rFonts w:ascii="Times New Roman" w:hAnsi="Times New Roman" w:cs="Times New Roman"/>
          <w:sz w:val="24"/>
          <w:lang w:val="en-GB"/>
        </w:rPr>
        <w:t xml:space="preserve">In our view, there is no difference between slot based and mini-slot based transmissions from a data channel specification perspective other than the DMRS pattern [1]. Hence, we propose that the DCI lets the UE to distinguish between slot based and mini-slot based allocations. With regard to the aforementioned table, most entries can be defined without distinguishing between slot or mini-slot based allocations. In either case, a starting OFDM symbol and a length of the allocation are required. The DCI does, however, need to provide a means to distinguish between slot and mini-slot based transmissions due to the different DMRS mapping. This could either be done by a single bit in the DCI or by a dedicated DCI format and we believe that the NR Rel. 15 specifications should allow both. See our companion contribution in [2] for details. </w:t>
      </w:r>
    </w:p>
    <w:p w:rsidR="004A105B" w:rsidRPr="00215F33" w:rsidRDefault="004A105B" w:rsidP="00215F33">
      <w:pPr>
        <w:pStyle w:val="maintext"/>
        <w:ind w:firstLine="0"/>
        <w:rPr>
          <w:rFonts w:ascii="Times New Roman" w:hAnsi="Times New Roman" w:cs="Times New Roman"/>
          <w:sz w:val="24"/>
          <w:lang w:val="en-GB"/>
        </w:rPr>
      </w:pPr>
      <w:r w:rsidRPr="00215F33">
        <w:rPr>
          <w:rFonts w:ascii="Times New Roman" w:hAnsi="Times New Roman" w:cs="Times New Roman"/>
          <w:sz w:val="24"/>
          <w:lang w:val="en-GB"/>
        </w:rPr>
        <w:t xml:space="preserve">For example, for a PDCCH monitoring periodicity of 14 OFDM symbols and a CORESET configuration at the beginning of a slot, a single DCI format can be used for both slot based and mini-slot based transmissions and a single bit can differentiate between the two DMRS mappings for slot and mini-slot based transmissions. </w:t>
      </w:r>
    </w:p>
    <w:p w:rsidR="004A105B" w:rsidRPr="00215F33" w:rsidRDefault="004A105B" w:rsidP="00215F33">
      <w:pPr>
        <w:pStyle w:val="maintext"/>
        <w:ind w:firstLine="0"/>
        <w:rPr>
          <w:rFonts w:ascii="Times New Roman" w:hAnsi="Times New Roman" w:cs="Times New Roman"/>
          <w:sz w:val="24"/>
          <w:lang w:val="en-GB"/>
        </w:rPr>
      </w:pPr>
      <w:r w:rsidRPr="00215F33">
        <w:rPr>
          <w:rFonts w:ascii="Times New Roman" w:hAnsi="Times New Roman" w:cs="Times New Roman"/>
          <w:sz w:val="24"/>
          <w:lang w:val="en-GB"/>
        </w:rPr>
        <w:t xml:space="preserve">For shorter PDCCH monitoring periodicities, a dedicated DCI format can be used to schedule mini-slot based transmissions. That is because it is not possible to schedule a slot based transmission from the middle of a slot. Note that a dedicated DCI format does not increase the number of blind decodes if the size for the same RNTI is the same. A dedicated DCI format has the benefit that it allows to reinterpret the entire DCI whereas a single bit may only signal the DMRS mapping but does not affect how remaining DCI bits are interpreted. Hence, a single bit in a common DCI format caters to the use case where the only difference between slot based and mini-slot based transmissions is the DMRS mapping [1] whereas a dedicated DCI field addresses those use cases where mini-slots serve dedicated purposes for a dedicated service or feature. Hence, we think both signaling mechanisms should be supported. </w:t>
      </w:r>
    </w:p>
    <w:p w:rsidR="004A105B" w:rsidRPr="00215F33" w:rsidRDefault="004A105B" w:rsidP="00215F33">
      <w:pPr>
        <w:pStyle w:val="maintext"/>
        <w:ind w:firstLine="0"/>
        <w:rPr>
          <w:rFonts w:ascii="Times New Roman" w:hAnsi="Times New Roman" w:cs="Times New Roman"/>
          <w:b/>
          <w:bCs/>
          <w:sz w:val="24"/>
          <w:lang w:val="en-GB"/>
        </w:rPr>
      </w:pPr>
      <w:r w:rsidRPr="00215F33">
        <w:rPr>
          <w:rFonts w:ascii="Times New Roman" w:hAnsi="Times New Roman" w:cs="Times New Roman"/>
          <w:b/>
          <w:bCs/>
          <w:sz w:val="24"/>
          <w:lang w:val="en-GB"/>
        </w:rPr>
        <w:t>Proposal 1: A common table is used in the specifications for the time-domain resource allocation for slot based and mini-slot based transmissions.</w:t>
      </w:r>
    </w:p>
    <w:p w:rsidR="004A105B" w:rsidRPr="00215F33" w:rsidRDefault="004A105B" w:rsidP="0090658D">
      <w:pPr>
        <w:pStyle w:val="maintext"/>
        <w:ind w:firstLine="0"/>
        <w:rPr>
          <w:rFonts w:ascii="Times New Roman" w:hAnsi="Times New Roman" w:cs="Times New Roman"/>
          <w:b/>
          <w:bCs/>
          <w:sz w:val="24"/>
          <w:lang w:val="en-GB"/>
        </w:rPr>
      </w:pPr>
      <w:r w:rsidRPr="00215F33">
        <w:rPr>
          <w:rFonts w:ascii="Times New Roman" w:hAnsi="Times New Roman" w:cs="Times New Roman"/>
          <w:b/>
          <w:bCs/>
          <w:sz w:val="24"/>
          <w:lang w:val="en-GB"/>
        </w:rPr>
        <w:t>Proposal 2: NR supports:</w:t>
      </w:r>
    </w:p>
    <w:p w:rsidR="004A105B" w:rsidRPr="00215F33" w:rsidRDefault="004A105B" w:rsidP="004A105B">
      <w:pPr>
        <w:pStyle w:val="maintext"/>
        <w:numPr>
          <w:ilvl w:val="0"/>
          <w:numId w:val="19"/>
        </w:numPr>
        <w:rPr>
          <w:rFonts w:ascii="Times New Roman" w:hAnsi="Times New Roman" w:cs="Times New Roman"/>
          <w:b/>
          <w:bCs/>
          <w:sz w:val="24"/>
          <w:lang w:val="en-GB"/>
        </w:rPr>
      </w:pPr>
      <w:r w:rsidRPr="00215F33">
        <w:rPr>
          <w:rFonts w:ascii="Times New Roman" w:hAnsi="Times New Roman" w:cs="Times New Roman"/>
          <w:b/>
          <w:bCs/>
          <w:sz w:val="24"/>
          <w:lang w:val="en-GB"/>
        </w:rPr>
        <w:t>The same DCI format can schedule a PDSCH either with PDSCH mapping type A or B</w:t>
      </w:r>
    </w:p>
    <w:p w:rsidR="004A105B" w:rsidRPr="00215F33" w:rsidRDefault="004A105B" w:rsidP="004A105B">
      <w:pPr>
        <w:pStyle w:val="maintext"/>
        <w:numPr>
          <w:ilvl w:val="0"/>
          <w:numId w:val="19"/>
        </w:numPr>
        <w:rPr>
          <w:rFonts w:ascii="Times New Roman" w:hAnsi="Times New Roman" w:cs="Times New Roman"/>
          <w:b/>
          <w:bCs/>
          <w:sz w:val="24"/>
          <w:lang w:val="en-GB"/>
        </w:rPr>
      </w:pPr>
      <w:r w:rsidRPr="00215F33">
        <w:rPr>
          <w:rFonts w:ascii="Times New Roman" w:hAnsi="Times New Roman" w:cs="Times New Roman"/>
          <w:b/>
          <w:bCs/>
          <w:sz w:val="24"/>
          <w:lang w:val="en-GB"/>
        </w:rPr>
        <w:t xml:space="preserve">A dedicated DCI format can schedule a PDSCH with PDSCH mapping type B </w:t>
      </w:r>
    </w:p>
    <w:p w:rsidR="004A105B" w:rsidRPr="00215F33" w:rsidRDefault="004A105B" w:rsidP="00016CFC">
      <w:pPr>
        <w:pStyle w:val="maintext"/>
        <w:ind w:firstLine="0"/>
        <w:rPr>
          <w:rFonts w:ascii="Times New Roman" w:hAnsi="Times New Roman" w:cs="Times New Roman"/>
          <w:sz w:val="24"/>
          <w:lang w:val="en-GB"/>
        </w:rPr>
      </w:pPr>
      <w:r w:rsidRPr="00215F33">
        <w:rPr>
          <w:rFonts w:ascii="Times New Roman" w:hAnsi="Times New Roman" w:cs="Times New Roman"/>
          <w:sz w:val="24"/>
          <w:lang w:val="en-GB"/>
        </w:rPr>
        <w:lastRenderedPageBreak/>
        <w:t>Note that the HARQ aspects of these proposals are detailed in our companion contribution is [3].</w:t>
      </w:r>
    </w:p>
    <w:p w:rsidR="002224D7" w:rsidRDefault="002224D7" w:rsidP="00215DBE">
      <w:pPr>
        <w:pStyle w:val="Heading1"/>
      </w:pPr>
      <w:r>
        <w:t xml:space="preserve">Impact of Symbol </w:t>
      </w:r>
      <w:r w:rsidR="003F2CAE">
        <w:t xml:space="preserve">level Block </w:t>
      </w:r>
      <w:r>
        <w:t>Interleaving</w:t>
      </w:r>
      <w:r w:rsidR="003F2CAE">
        <w:t xml:space="preserve"> </w:t>
      </w:r>
    </w:p>
    <w:p w:rsidR="007F75FA" w:rsidRDefault="00035E71" w:rsidP="00885521">
      <w:pPr>
        <w:jc w:val="both"/>
        <w:rPr>
          <w:sz w:val="24"/>
          <w:szCs w:val="24"/>
          <w:lang w:val="en-GB"/>
        </w:rPr>
      </w:pPr>
      <w:r>
        <w:rPr>
          <w:sz w:val="24"/>
          <w:szCs w:val="24"/>
          <w:lang w:val="en-GB"/>
        </w:rPr>
        <w:t>In the previous meeting and subsequent email discussion, it was agreed to support the notion of virtual resource blocks in addition to physical resource blocks.  It was also agreed to have at least a block interleaver to support VRB-to-PRB mapping</w:t>
      </w:r>
      <w:r>
        <w:rPr>
          <w:sz w:val="24"/>
          <w:szCs w:val="24"/>
          <w:lang w:val="en-GB"/>
        </w:rPr>
        <w:t>. That is o</w:t>
      </w:r>
      <w:r w:rsidR="00885521">
        <w:rPr>
          <w:sz w:val="24"/>
          <w:szCs w:val="24"/>
          <w:lang w:val="en-GB"/>
        </w:rPr>
        <w:t>nce the layers are mapped to the resource elements in the frequency domain, it was proposed to use symbol</w:t>
      </w:r>
      <w:r>
        <w:rPr>
          <w:sz w:val="24"/>
          <w:szCs w:val="24"/>
          <w:lang w:val="en-GB"/>
        </w:rPr>
        <w:t xml:space="preserve"> level block</w:t>
      </w:r>
      <w:r w:rsidR="00885521">
        <w:rPr>
          <w:sz w:val="24"/>
          <w:szCs w:val="24"/>
          <w:lang w:val="en-GB"/>
        </w:rPr>
        <w:t xml:space="preserve"> interleaver to improve frequency diversity. In our view, the adding symbol interleaving is not needed</w:t>
      </w:r>
      <w:r>
        <w:rPr>
          <w:sz w:val="24"/>
          <w:szCs w:val="24"/>
          <w:lang w:val="en-GB"/>
        </w:rPr>
        <w:t xml:space="preserve"> always</w:t>
      </w:r>
      <w:r w:rsidR="00885521">
        <w:rPr>
          <w:sz w:val="24"/>
          <w:szCs w:val="24"/>
          <w:lang w:val="en-GB"/>
        </w:rPr>
        <w:t xml:space="preserve"> as shown in this section, the gains achieved with symbol interleaving is very minimal. </w:t>
      </w:r>
      <w:r w:rsidR="007F75FA">
        <w:rPr>
          <w:sz w:val="24"/>
          <w:szCs w:val="24"/>
          <w:lang w:val="en-GB"/>
        </w:rPr>
        <w:t>Note that we used random interleaving in our simulations. Where the random interleaver pattern is different for every OFDM symbol and for every layer.</w:t>
      </w:r>
      <w:r w:rsidR="00885521">
        <w:rPr>
          <w:sz w:val="24"/>
          <w:szCs w:val="24"/>
          <w:lang w:val="en-GB"/>
        </w:rPr>
        <w:t xml:space="preserve"> </w:t>
      </w:r>
      <w:r>
        <w:rPr>
          <w:sz w:val="24"/>
          <w:szCs w:val="24"/>
          <w:lang w:val="en-GB"/>
        </w:rPr>
        <w:t xml:space="preserve"> With a pre-defined block </w:t>
      </w:r>
      <w:r w:rsidR="00091B17">
        <w:rPr>
          <w:sz w:val="24"/>
          <w:szCs w:val="24"/>
          <w:lang w:val="en-GB"/>
        </w:rPr>
        <w:t>interleaver with</w:t>
      </w:r>
      <w:r>
        <w:rPr>
          <w:sz w:val="24"/>
          <w:szCs w:val="24"/>
          <w:lang w:val="en-GB"/>
        </w:rPr>
        <w:t xml:space="preserve"> same interlaving pattern for every OFDM symbol and for every antenna, we expect the gains are almost negligible. </w:t>
      </w:r>
    </w:p>
    <w:p w:rsidR="00885521" w:rsidRDefault="00035E71" w:rsidP="00885521">
      <w:pPr>
        <w:jc w:val="both"/>
        <w:rPr>
          <w:sz w:val="24"/>
          <w:szCs w:val="24"/>
          <w:lang w:val="en-GB"/>
        </w:rPr>
      </w:pPr>
      <w:r>
        <w:rPr>
          <w:sz w:val="24"/>
          <w:szCs w:val="24"/>
          <w:lang w:val="en-GB"/>
        </w:rPr>
        <w:t>Figure 1</w:t>
      </w:r>
      <w:r w:rsidR="00885521">
        <w:rPr>
          <w:sz w:val="24"/>
          <w:szCs w:val="24"/>
          <w:lang w:val="en-GB"/>
        </w:rPr>
        <w:t xml:space="preserve"> shows the performance of 4x4 MIMO system with single codeword with and without interleaver when the UE is moving with a speed of 3 Kmph, which is typical scenario for eMBB data. </w:t>
      </w:r>
      <w:r w:rsidR="00471774">
        <w:rPr>
          <w:sz w:val="24"/>
          <w:szCs w:val="24"/>
          <w:lang w:val="en-GB"/>
        </w:rPr>
        <w:t xml:space="preserve"> </w:t>
      </w:r>
      <w:r w:rsidR="00684B74">
        <w:rPr>
          <w:sz w:val="24"/>
          <w:szCs w:val="24"/>
          <w:lang w:val="en-GB"/>
        </w:rPr>
        <w:t xml:space="preserve">The simulation assumptions are provided in Appendix. </w:t>
      </w:r>
      <w:r w:rsidR="00471774">
        <w:rPr>
          <w:sz w:val="24"/>
          <w:szCs w:val="24"/>
          <w:lang w:val="en-GB"/>
        </w:rPr>
        <w:t xml:space="preserve">It can be observed that there is no gain with the introduction of symbol interleaver in frequency domain. </w:t>
      </w:r>
      <w:r w:rsidR="00A25B28">
        <w:rPr>
          <w:sz w:val="24"/>
          <w:szCs w:val="24"/>
          <w:lang w:val="en-GB"/>
        </w:rPr>
        <w:t xml:space="preserve">The gain is around 2% at high SNR. The gains are low because, the probability of the packet pass is around 95% for slow speed channels, and the frequency diversity may not provide significant gains at slow speeds.  </w:t>
      </w:r>
      <w:r w:rsidR="00471774">
        <w:rPr>
          <w:sz w:val="24"/>
          <w:szCs w:val="24"/>
          <w:lang w:val="en-GB"/>
        </w:rPr>
        <w:t>Note that the conventional link adaptation is used in this case, i.e. the symbol interleaver is transparent to the UE for link adaptation.</w:t>
      </w:r>
      <w:r w:rsidR="00A25B28">
        <w:rPr>
          <w:sz w:val="24"/>
          <w:szCs w:val="24"/>
          <w:lang w:val="en-GB"/>
        </w:rPr>
        <w:t xml:space="preserve"> </w:t>
      </w:r>
    </w:p>
    <w:p w:rsidR="006D2CAE" w:rsidRDefault="00885521" w:rsidP="006D2CAE">
      <w:pPr>
        <w:keepNext/>
        <w:jc w:val="both"/>
      </w:pPr>
      <w:r w:rsidRPr="00885521">
        <w:rPr>
          <w:noProof/>
          <w:sz w:val="24"/>
          <w:szCs w:val="24"/>
        </w:rPr>
        <w:drawing>
          <wp:inline distT="0" distB="0" distL="0" distR="0">
            <wp:extent cx="5325745" cy="39941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885521" w:rsidRDefault="006D2CAE" w:rsidP="006D2CAE">
      <w:pPr>
        <w:pStyle w:val="Caption"/>
        <w:jc w:val="both"/>
        <w:rPr>
          <w:sz w:val="24"/>
          <w:szCs w:val="24"/>
          <w:lang w:val="en-GB"/>
        </w:rPr>
      </w:pPr>
      <w:r>
        <w:t xml:space="preserve">Figure </w:t>
      </w:r>
      <w:r w:rsidR="00035E71">
        <w:t>1</w:t>
      </w:r>
      <w:r>
        <w:t xml:space="preserve"> Spectral efficiency comparison with 50 PRB allocation with 3 Kmph channel</w:t>
      </w:r>
    </w:p>
    <w:p w:rsidR="00885521" w:rsidRDefault="00885521" w:rsidP="00885521">
      <w:pPr>
        <w:jc w:val="both"/>
        <w:rPr>
          <w:sz w:val="24"/>
          <w:szCs w:val="24"/>
          <w:lang w:val="en-GB"/>
        </w:rPr>
      </w:pPr>
    </w:p>
    <w:p w:rsidR="00885521" w:rsidRDefault="00035E71" w:rsidP="00885521">
      <w:pPr>
        <w:jc w:val="both"/>
        <w:rPr>
          <w:sz w:val="24"/>
          <w:szCs w:val="24"/>
          <w:lang w:val="en-GB"/>
        </w:rPr>
      </w:pPr>
      <w:r>
        <w:rPr>
          <w:sz w:val="24"/>
          <w:szCs w:val="24"/>
          <w:lang w:val="en-GB"/>
        </w:rPr>
        <w:lastRenderedPageBreak/>
        <w:t>Figure 2</w:t>
      </w:r>
      <w:r w:rsidR="00885521">
        <w:rPr>
          <w:sz w:val="24"/>
          <w:szCs w:val="24"/>
          <w:lang w:val="en-GB"/>
        </w:rPr>
        <w:t xml:space="preserve"> shows the </w:t>
      </w:r>
      <w:r w:rsidR="00DC2EEC">
        <w:rPr>
          <w:sz w:val="24"/>
          <w:szCs w:val="24"/>
          <w:lang w:val="en-GB"/>
        </w:rPr>
        <w:t xml:space="preserve">spectral efficiency vs SNR at UE speed equal </w:t>
      </w:r>
      <w:r w:rsidR="00885521">
        <w:rPr>
          <w:sz w:val="24"/>
          <w:szCs w:val="24"/>
          <w:lang w:val="en-GB"/>
        </w:rPr>
        <w:t xml:space="preserve">to 120 Kmph. </w:t>
      </w:r>
      <w:r w:rsidR="00DC2EEC">
        <w:rPr>
          <w:sz w:val="24"/>
          <w:szCs w:val="24"/>
          <w:lang w:val="en-GB"/>
        </w:rPr>
        <w:t xml:space="preserve">In this case, since the channel is outdated at the gNB due to high Doppler, we expect </w:t>
      </w:r>
      <w:r>
        <w:rPr>
          <w:sz w:val="24"/>
          <w:szCs w:val="24"/>
          <w:lang w:val="en-GB"/>
        </w:rPr>
        <w:t>some gains. As shown in Figure 2</w:t>
      </w:r>
      <w:r w:rsidR="00DC2EEC">
        <w:rPr>
          <w:sz w:val="24"/>
          <w:szCs w:val="24"/>
          <w:lang w:val="en-GB"/>
        </w:rPr>
        <w:t xml:space="preserve">, the gains are improved compared to 3 Kmph channel, however we observe the gains only at high SNR. </w:t>
      </w:r>
    </w:p>
    <w:p w:rsidR="00BF2E34" w:rsidRDefault="00885521" w:rsidP="00BF2E34">
      <w:pPr>
        <w:keepNext/>
        <w:jc w:val="both"/>
      </w:pPr>
      <w:r w:rsidRPr="00885521">
        <w:rPr>
          <w:noProof/>
          <w:sz w:val="24"/>
          <w:szCs w:val="24"/>
        </w:rPr>
        <w:drawing>
          <wp:inline distT="0" distB="0" distL="0" distR="0">
            <wp:extent cx="5325745" cy="39941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885521" w:rsidRDefault="00035E71" w:rsidP="00BF2E34">
      <w:pPr>
        <w:pStyle w:val="Caption"/>
        <w:jc w:val="both"/>
      </w:pPr>
      <w:r>
        <w:t>Figure 2</w:t>
      </w:r>
      <w:r w:rsidR="00BF2E34" w:rsidRPr="00F83492">
        <w:t xml:space="preserve"> Spectral efficiency comparison with 50 PRB allocation with </w:t>
      </w:r>
      <w:r w:rsidR="00BF2E34">
        <w:t>120</w:t>
      </w:r>
      <w:r w:rsidR="00BF2E34" w:rsidRPr="00F83492">
        <w:t xml:space="preserve"> Kmph channel</w:t>
      </w:r>
    </w:p>
    <w:p w:rsidR="00DF0086" w:rsidRDefault="00DF0086" w:rsidP="00DF0086"/>
    <w:p w:rsidR="00DF0086" w:rsidRPr="00DF0086" w:rsidRDefault="00DF0086" w:rsidP="00DF0086">
      <w:pPr>
        <w:jc w:val="both"/>
      </w:pPr>
      <w:r>
        <w:rPr>
          <w:sz w:val="24"/>
          <w:szCs w:val="24"/>
          <w:lang w:val="en-GB"/>
        </w:rPr>
        <w:t xml:space="preserve">Note that in the above simulations we used 50 PRBs for data transmission. To check the performance improvement with frequency domain interleaver, we plotted the spectral efficiency as a function of SNR with 2 PRB and 1 PRB allocation in Figure 8 and 9 respectively. Note that we used 120 Kmph channel in these simulations.  It can be observed that the gains are almost negligible with less number of PRB allocation. </w:t>
      </w:r>
    </w:p>
    <w:p w:rsidR="001E170C" w:rsidRDefault="004E3F91" w:rsidP="001E170C">
      <w:pPr>
        <w:pStyle w:val="ListParagraph"/>
        <w:keepNext/>
        <w:jc w:val="both"/>
      </w:pPr>
      <w:r w:rsidRPr="004E3F91">
        <w:rPr>
          <w:rFonts w:ascii="Times New Roman" w:hAnsi="Times New Roman"/>
          <w:noProof/>
          <w:sz w:val="24"/>
          <w:szCs w:val="24"/>
        </w:rPr>
        <w:lastRenderedPageBreak/>
        <w:drawing>
          <wp:inline distT="0" distB="0" distL="0" distR="0">
            <wp:extent cx="5325745" cy="39941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2965A1" w:rsidRPr="00885521" w:rsidRDefault="00035E71" w:rsidP="001E170C">
      <w:pPr>
        <w:pStyle w:val="Caption"/>
        <w:jc w:val="both"/>
        <w:rPr>
          <w:sz w:val="24"/>
          <w:szCs w:val="24"/>
          <w:lang w:val="en-GB"/>
        </w:rPr>
      </w:pPr>
      <w:r>
        <w:t>Figure 3</w:t>
      </w:r>
      <w:r w:rsidR="001E170C">
        <w:t xml:space="preserve"> </w:t>
      </w:r>
      <w:r w:rsidR="001E170C" w:rsidRPr="00404670">
        <w:t>Spectral efficiency comparis</w:t>
      </w:r>
      <w:r w:rsidR="001E170C">
        <w:t>on with 2 PRB allocation with 120</w:t>
      </w:r>
      <w:r w:rsidR="001E170C" w:rsidRPr="00404670">
        <w:t xml:space="preserve"> Kmph channel</w:t>
      </w:r>
    </w:p>
    <w:p w:rsidR="001E170C" w:rsidRDefault="001E170C" w:rsidP="001E170C">
      <w:pPr>
        <w:keepNext/>
      </w:pPr>
    </w:p>
    <w:p w:rsidR="00035E71" w:rsidRDefault="00035E71" w:rsidP="00035E71">
      <w:pPr>
        <w:jc w:val="both"/>
        <w:rPr>
          <w:sz w:val="24"/>
          <w:szCs w:val="24"/>
          <w:lang w:val="en-GB"/>
        </w:rPr>
      </w:pPr>
      <w:r>
        <w:rPr>
          <w:sz w:val="24"/>
          <w:szCs w:val="24"/>
          <w:lang w:val="en-GB"/>
        </w:rPr>
        <w:t>Hence, we propose t</w:t>
      </w:r>
      <w:r>
        <w:rPr>
          <w:sz w:val="24"/>
          <w:szCs w:val="24"/>
          <w:lang w:val="en-GB"/>
        </w:rPr>
        <w:t>hat the block interleaver for PD</w:t>
      </w:r>
      <w:r>
        <w:rPr>
          <w:sz w:val="24"/>
          <w:szCs w:val="24"/>
          <w:lang w:val="en-GB"/>
        </w:rPr>
        <w:t>SCH transmission should be enabled or dis</w:t>
      </w:r>
      <w:r>
        <w:rPr>
          <w:sz w:val="24"/>
          <w:szCs w:val="24"/>
          <w:lang w:val="en-GB"/>
        </w:rPr>
        <w:t>abled either by DCI signalling or RRC signaling.</w:t>
      </w:r>
      <w:r>
        <w:rPr>
          <w:sz w:val="24"/>
          <w:szCs w:val="24"/>
          <w:lang w:val="en-GB"/>
        </w:rPr>
        <w:t xml:space="preserve"> </w:t>
      </w:r>
    </w:p>
    <w:p w:rsidR="00035E71" w:rsidRDefault="00035E71" w:rsidP="00035E71">
      <w:pPr>
        <w:jc w:val="both"/>
        <w:rPr>
          <w:b/>
          <w:sz w:val="24"/>
        </w:rPr>
      </w:pPr>
      <w:r w:rsidRPr="00AD2BEA">
        <w:rPr>
          <w:b/>
          <w:sz w:val="24"/>
        </w:rPr>
        <w:t>Proposal</w:t>
      </w:r>
      <w:r>
        <w:rPr>
          <w:b/>
          <w:sz w:val="24"/>
        </w:rPr>
        <w:t xml:space="preserve"> 3: When block interleaver is used for VRB-to-PRB mapping</w:t>
      </w:r>
      <w:r w:rsidR="00A75D29">
        <w:rPr>
          <w:b/>
          <w:sz w:val="24"/>
        </w:rPr>
        <w:t xml:space="preserve"> for PD</w:t>
      </w:r>
      <w:r>
        <w:rPr>
          <w:b/>
          <w:sz w:val="24"/>
        </w:rPr>
        <w:t>SCH transmission, the network should be able to enable or disable the block interleaver.</w:t>
      </w:r>
    </w:p>
    <w:p w:rsidR="00035E71" w:rsidRDefault="00035E71" w:rsidP="00035E71">
      <w:pPr>
        <w:jc w:val="both"/>
        <w:rPr>
          <w:b/>
          <w:sz w:val="24"/>
        </w:rPr>
      </w:pPr>
      <w:r w:rsidRPr="00AD2BEA">
        <w:rPr>
          <w:b/>
          <w:sz w:val="24"/>
        </w:rPr>
        <w:t>Proposal</w:t>
      </w:r>
      <w:r>
        <w:rPr>
          <w:b/>
          <w:sz w:val="24"/>
        </w:rPr>
        <w:t xml:space="preserve"> 4: A single bit in DCI can indicate whether the block interleaver is enabled or disable for VRB-to-PRB mapping. </w:t>
      </w:r>
    </w:p>
    <w:p w:rsidR="00035E71" w:rsidRDefault="00A75D29" w:rsidP="00035E71">
      <w:pPr>
        <w:jc w:val="both"/>
        <w:rPr>
          <w:sz w:val="24"/>
          <w:szCs w:val="24"/>
          <w:lang w:val="en-GB"/>
        </w:rPr>
      </w:pPr>
      <w:r>
        <w:rPr>
          <w:sz w:val="24"/>
          <w:szCs w:val="24"/>
          <w:lang w:val="en-GB"/>
        </w:rPr>
        <w:t xml:space="preserve">Similarly for uplink data transmission with CP-OFDM and DFT-s-OFDM, the network should able to turn on/off the symbol level block interleaver.  For example </w:t>
      </w:r>
      <w:r w:rsidR="00035E71">
        <w:rPr>
          <w:sz w:val="24"/>
          <w:szCs w:val="24"/>
          <w:lang w:val="en-GB"/>
        </w:rPr>
        <w:t>when frequency hopping is enabled, the small gains observed at high SNRs</w:t>
      </w:r>
      <w:r>
        <w:rPr>
          <w:sz w:val="24"/>
          <w:szCs w:val="24"/>
          <w:lang w:val="en-GB"/>
        </w:rPr>
        <w:t xml:space="preserve"> with symbol level block interleaver</w:t>
      </w:r>
      <w:r w:rsidR="00035E71">
        <w:rPr>
          <w:sz w:val="24"/>
          <w:szCs w:val="24"/>
          <w:lang w:val="en-GB"/>
        </w:rPr>
        <w:t xml:space="preserve"> diminish as the diversity gains are already provided by frequency hopping. Hence, we propose that the block interleaver for PUSCH transmission should be enabled or disabled either by DCI signalling.  </w:t>
      </w:r>
    </w:p>
    <w:p w:rsidR="009356F7" w:rsidRDefault="009356F7" w:rsidP="009356F7">
      <w:pPr>
        <w:jc w:val="both"/>
        <w:rPr>
          <w:b/>
          <w:sz w:val="24"/>
        </w:rPr>
      </w:pPr>
      <w:r w:rsidRPr="00AD2BEA">
        <w:rPr>
          <w:b/>
          <w:sz w:val="24"/>
        </w:rPr>
        <w:t>Proposal</w:t>
      </w:r>
      <w:r>
        <w:rPr>
          <w:b/>
          <w:sz w:val="24"/>
        </w:rPr>
        <w:t xml:space="preserve"> 5</w:t>
      </w:r>
      <w:r>
        <w:rPr>
          <w:b/>
          <w:sz w:val="24"/>
        </w:rPr>
        <w:t>: When block interleaver is used for VRB-to-PRB mapping for PUSCH transmission with CP-OFDM and DFT-s-OFDM, the network should be able to enable or disable the block interleaver.</w:t>
      </w:r>
    </w:p>
    <w:p w:rsidR="009356F7" w:rsidRDefault="009356F7" w:rsidP="009356F7">
      <w:pPr>
        <w:jc w:val="both"/>
        <w:rPr>
          <w:b/>
          <w:sz w:val="24"/>
        </w:rPr>
      </w:pPr>
      <w:r w:rsidRPr="00AD2BEA">
        <w:rPr>
          <w:b/>
          <w:sz w:val="24"/>
        </w:rPr>
        <w:t>Proposal</w:t>
      </w:r>
      <w:r>
        <w:rPr>
          <w:b/>
          <w:sz w:val="24"/>
        </w:rPr>
        <w:t xml:space="preserve"> 6</w:t>
      </w:r>
      <w:r>
        <w:rPr>
          <w:b/>
          <w:sz w:val="24"/>
        </w:rPr>
        <w:t xml:space="preserve">: A single bit in DCI can indicate whether the block interleaver is enabled or disable for VRB-to-PRB mapping. </w:t>
      </w:r>
    </w:p>
    <w:p w:rsidR="009356F7" w:rsidRPr="009356F7" w:rsidRDefault="009356F7" w:rsidP="00035E71">
      <w:pPr>
        <w:jc w:val="both"/>
        <w:rPr>
          <w:sz w:val="24"/>
          <w:szCs w:val="24"/>
        </w:rPr>
      </w:pPr>
    </w:p>
    <w:p w:rsidR="008A6C64" w:rsidRDefault="008A6C64" w:rsidP="008A6C64">
      <w:pPr>
        <w:pStyle w:val="Heading1"/>
      </w:pPr>
      <w:r>
        <w:lastRenderedPageBreak/>
        <w:t xml:space="preserve">Symbol level Block Interleaving </w:t>
      </w:r>
      <w:r>
        <w:t xml:space="preserve">Design </w:t>
      </w:r>
    </w:p>
    <w:p w:rsidR="006D04C7" w:rsidRDefault="006D04C7" w:rsidP="006D04C7">
      <w:pPr>
        <w:jc w:val="both"/>
        <w:rPr>
          <w:sz w:val="24"/>
          <w:szCs w:val="24"/>
          <w:lang w:val="en-GB"/>
        </w:rPr>
      </w:pPr>
      <w:r>
        <w:rPr>
          <w:sz w:val="24"/>
          <w:szCs w:val="24"/>
          <w:lang w:val="en-GB"/>
        </w:rPr>
        <w:t>For symbol level interleaver, we can design a simple block level interleaver such as row to column interleaver with size N= Nr X Nc, where N= number of symbol per OFDM symbol for uniform allocation of symbols per each symbol. The values of Nr and Nc can be chosen from a given set of pre-defined values.  Since the main purpose of symbol level interleaving is to provide diversity gain, we propose that the interleaving patterns for each layer and symbol can be different for providing more frequency diversity gain. This can be achieved by choosing different value of Nr and Nc for each layer and for each symbol.  Hence we propose that</w:t>
      </w:r>
    </w:p>
    <w:p w:rsidR="006D04C7" w:rsidRPr="00E4305F" w:rsidRDefault="006D04C7" w:rsidP="006D04C7">
      <w:pPr>
        <w:rPr>
          <w:lang w:val="en-GB"/>
        </w:rPr>
      </w:pPr>
      <w:bookmarkStart w:id="1" w:name="_Ref378529477"/>
      <w:bookmarkStart w:id="2" w:name="_Toc424303267"/>
      <w:bookmarkStart w:id="3" w:name="_Toc425248865"/>
      <w:bookmarkStart w:id="4" w:name="_Toc425344835"/>
      <w:bookmarkStart w:id="5" w:name="_Toc425350726"/>
      <w:bookmarkStart w:id="6" w:name="_Toc425501584"/>
      <w:bookmarkStart w:id="7" w:name="_Toc425504168"/>
      <w:r w:rsidRPr="00AD2BEA">
        <w:rPr>
          <w:b/>
          <w:sz w:val="24"/>
        </w:rPr>
        <w:t>Proposal</w:t>
      </w:r>
      <w:r w:rsidR="0074325C">
        <w:rPr>
          <w:b/>
          <w:sz w:val="24"/>
        </w:rPr>
        <w:t xml:space="preserve"> 7</w:t>
      </w:r>
      <w:r>
        <w:rPr>
          <w:b/>
          <w:sz w:val="24"/>
        </w:rPr>
        <w:t xml:space="preserve">:  </w:t>
      </w:r>
      <w:r>
        <w:rPr>
          <w:b/>
          <w:sz w:val="24"/>
        </w:rPr>
        <w:t xml:space="preserve"> When symbol level interleaving is used for VRB-to-PRB mapping, the interleaving pattern should be different for each layer and for each OFDM symbol  </w:t>
      </w:r>
    </w:p>
    <w:p w:rsidR="001D7377" w:rsidRDefault="001D7377" w:rsidP="001D7377">
      <w:pPr>
        <w:pStyle w:val="Heading1"/>
      </w:pPr>
      <w:r>
        <w:t>Conclusions</w:t>
      </w:r>
    </w:p>
    <w:p w:rsidR="0041434F" w:rsidRDefault="00141AC7" w:rsidP="005C1BF7">
      <w:pPr>
        <w:jc w:val="both"/>
        <w:rPr>
          <w:sz w:val="24"/>
          <w:szCs w:val="24"/>
        </w:rPr>
      </w:pPr>
      <w:r w:rsidRPr="00183B2D">
        <w:rPr>
          <w:sz w:val="24"/>
          <w:szCs w:val="24"/>
          <w:lang w:val="en-GB"/>
        </w:rPr>
        <w:t xml:space="preserve">In this contribution </w:t>
      </w:r>
      <w:r w:rsidR="00E91079">
        <w:rPr>
          <w:sz w:val="24"/>
          <w:szCs w:val="24"/>
          <w:lang w:val="en-GB"/>
        </w:rPr>
        <w:t xml:space="preserve">we outlined our views on the </w:t>
      </w:r>
      <w:r w:rsidR="0074325C">
        <w:rPr>
          <w:sz w:val="24"/>
          <w:szCs w:val="24"/>
          <w:lang w:val="en-GB"/>
        </w:rPr>
        <w:t>resource allocation for DL/UL</w:t>
      </w:r>
      <w:r w:rsidR="003162A0">
        <w:rPr>
          <w:sz w:val="24"/>
          <w:szCs w:val="24"/>
          <w:lang w:val="en-GB"/>
        </w:rPr>
        <w:t xml:space="preserve"> </w:t>
      </w:r>
      <w:r w:rsidR="00391A88">
        <w:rPr>
          <w:sz w:val="24"/>
          <w:szCs w:val="24"/>
          <w:lang w:val="en-GB"/>
        </w:rPr>
        <w:t xml:space="preserve">Based on our observations </w:t>
      </w:r>
      <w:r w:rsidR="00391A88">
        <w:rPr>
          <w:sz w:val="24"/>
          <w:szCs w:val="24"/>
        </w:rPr>
        <w:t>w</w:t>
      </w:r>
      <w:r w:rsidR="00E91079">
        <w:rPr>
          <w:sz w:val="24"/>
          <w:szCs w:val="24"/>
        </w:rPr>
        <w:t>e</w:t>
      </w:r>
      <w:r w:rsidR="0041434F">
        <w:rPr>
          <w:sz w:val="24"/>
          <w:szCs w:val="24"/>
        </w:rPr>
        <w:t xml:space="preserve"> recommend</w:t>
      </w:r>
    </w:p>
    <w:p w:rsidR="0074325C" w:rsidRPr="00215F33" w:rsidRDefault="0074325C" w:rsidP="0074325C">
      <w:pPr>
        <w:pStyle w:val="maintext"/>
        <w:ind w:firstLine="0"/>
        <w:rPr>
          <w:rFonts w:ascii="Times New Roman" w:hAnsi="Times New Roman" w:cs="Times New Roman"/>
          <w:b/>
          <w:bCs/>
          <w:sz w:val="24"/>
          <w:lang w:val="en-GB"/>
        </w:rPr>
      </w:pPr>
      <w:bookmarkStart w:id="8" w:name="_GoBack"/>
      <w:bookmarkEnd w:id="8"/>
      <w:r w:rsidRPr="00215F33">
        <w:rPr>
          <w:rFonts w:ascii="Times New Roman" w:hAnsi="Times New Roman" w:cs="Times New Roman"/>
          <w:b/>
          <w:bCs/>
          <w:sz w:val="24"/>
          <w:lang w:val="en-GB"/>
        </w:rPr>
        <w:t>Proposal 1: A common table is used in the specifications for the time-domain resource allocation for slot based and mini-slot based transmissions.</w:t>
      </w:r>
    </w:p>
    <w:p w:rsidR="0074325C" w:rsidRPr="00215F33" w:rsidRDefault="0074325C" w:rsidP="0074325C">
      <w:pPr>
        <w:pStyle w:val="maintext"/>
        <w:ind w:firstLine="0"/>
        <w:rPr>
          <w:rFonts w:ascii="Times New Roman" w:hAnsi="Times New Roman" w:cs="Times New Roman"/>
          <w:b/>
          <w:bCs/>
          <w:sz w:val="24"/>
          <w:lang w:val="en-GB"/>
        </w:rPr>
      </w:pPr>
      <w:r w:rsidRPr="00215F33">
        <w:rPr>
          <w:rFonts w:ascii="Times New Roman" w:hAnsi="Times New Roman" w:cs="Times New Roman"/>
          <w:b/>
          <w:bCs/>
          <w:sz w:val="24"/>
          <w:lang w:val="en-GB"/>
        </w:rPr>
        <w:t>Proposal 2: NR supports:</w:t>
      </w:r>
    </w:p>
    <w:p w:rsidR="0074325C" w:rsidRPr="00215F33" w:rsidRDefault="0074325C" w:rsidP="0074325C">
      <w:pPr>
        <w:pStyle w:val="maintext"/>
        <w:numPr>
          <w:ilvl w:val="0"/>
          <w:numId w:val="19"/>
        </w:numPr>
        <w:rPr>
          <w:rFonts w:ascii="Times New Roman" w:hAnsi="Times New Roman" w:cs="Times New Roman"/>
          <w:b/>
          <w:bCs/>
          <w:sz w:val="24"/>
          <w:lang w:val="en-GB"/>
        </w:rPr>
      </w:pPr>
      <w:r w:rsidRPr="00215F33">
        <w:rPr>
          <w:rFonts w:ascii="Times New Roman" w:hAnsi="Times New Roman" w:cs="Times New Roman"/>
          <w:b/>
          <w:bCs/>
          <w:sz w:val="24"/>
          <w:lang w:val="en-GB"/>
        </w:rPr>
        <w:t>The same DCI format can schedule a PDSCH either with PDSCH mapping type A or B</w:t>
      </w:r>
    </w:p>
    <w:p w:rsidR="0074325C" w:rsidRPr="00215F33" w:rsidRDefault="0074325C" w:rsidP="0074325C">
      <w:pPr>
        <w:pStyle w:val="maintext"/>
        <w:numPr>
          <w:ilvl w:val="0"/>
          <w:numId w:val="19"/>
        </w:numPr>
        <w:rPr>
          <w:rFonts w:ascii="Times New Roman" w:hAnsi="Times New Roman" w:cs="Times New Roman"/>
          <w:b/>
          <w:bCs/>
          <w:sz w:val="24"/>
          <w:lang w:val="en-GB"/>
        </w:rPr>
      </w:pPr>
      <w:r w:rsidRPr="00215F33">
        <w:rPr>
          <w:rFonts w:ascii="Times New Roman" w:hAnsi="Times New Roman" w:cs="Times New Roman"/>
          <w:b/>
          <w:bCs/>
          <w:sz w:val="24"/>
          <w:lang w:val="en-GB"/>
        </w:rPr>
        <w:t xml:space="preserve">A dedicated DCI format can schedule a PDSCH with PDSCH mapping type B </w:t>
      </w:r>
    </w:p>
    <w:p w:rsidR="0074325C" w:rsidRDefault="0074325C" w:rsidP="0074325C">
      <w:pPr>
        <w:jc w:val="both"/>
        <w:rPr>
          <w:b/>
          <w:sz w:val="24"/>
        </w:rPr>
      </w:pPr>
    </w:p>
    <w:p w:rsidR="0074325C" w:rsidRDefault="0074325C" w:rsidP="0074325C">
      <w:pPr>
        <w:jc w:val="both"/>
        <w:rPr>
          <w:b/>
          <w:sz w:val="24"/>
        </w:rPr>
      </w:pPr>
      <w:r w:rsidRPr="00AD2BEA">
        <w:rPr>
          <w:b/>
          <w:sz w:val="24"/>
        </w:rPr>
        <w:t>Proposal</w:t>
      </w:r>
      <w:r>
        <w:rPr>
          <w:b/>
          <w:sz w:val="24"/>
        </w:rPr>
        <w:t xml:space="preserve"> 3: When block interleaver is used for VRB-to-PRB mapping for PDSCH transmission, the network should be able to enable or disable the block interleaver.</w:t>
      </w:r>
    </w:p>
    <w:p w:rsidR="0074325C" w:rsidRDefault="0074325C" w:rsidP="0074325C">
      <w:pPr>
        <w:jc w:val="both"/>
        <w:rPr>
          <w:b/>
          <w:sz w:val="24"/>
        </w:rPr>
      </w:pPr>
      <w:r w:rsidRPr="00AD2BEA">
        <w:rPr>
          <w:b/>
          <w:sz w:val="24"/>
        </w:rPr>
        <w:t>Proposal</w:t>
      </w:r>
      <w:r>
        <w:rPr>
          <w:b/>
          <w:sz w:val="24"/>
        </w:rPr>
        <w:t xml:space="preserve"> 4: A single bit in DCI can indicate whether the block interleaver is enabled or disable for VRB-to-PRB mapping. </w:t>
      </w:r>
    </w:p>
    <w:p w:rsidR="0074325C" w:rsidRDefault="0074325C" w:rsidP="0074325C">
      <w:pPr>
        <w:jc w:val="both"/>
        <w:rPr>
          <w:b/>
          <w:sz w:val="24"/>
        </w:rPr>
      </w:pPr>
      <w:r w:rsidRPr="00AD2BEA">
        <w:rPr>
          <w:b/>
          <w:sz w:val="24"/>
        </w:rPr>
        <w:t>Proposal</w:t>
      </w:r>
      <w:r>
        <w:rPr>
          <w:b/>
          <w:sz w:val="24"/>
        </w:rPr>
        <w:t xml:space="preserve"> 5: When block interleaver is used for VRB-to-PRB mapping for PUSCH transmission with CP-OFDM and DFT-s-OFDM, the network should be able to enable or disable the block interleaver.</w:t>
      </w:r>
    </w:p>
    <w:p w:rsidR="0074325C" w:rsidRDefault="0074325C" w:rsidP="0074325C">
      <w:pPr>
        <w:jc w:val="both"/>
        <w:rPr>
          <w:b/>
          <w:sz w:val="24"/>
        </w:rPr>
      </w:pPr>
      <w:r w:rsidRPr="00AD2BEA">
        <w:rPr>
          <w:b/>
          <w:sz w:val="24"/>
        </w:rPr>
        <w:t>Proposal</w:t>
      </w:r>
      <w:r>
        <w:rPr>
          <w:b/>
          <w:sz w:val="24"/>
        </w:rPr>
        <w:t xml:space="preserve"> 6: A single bit in DCI can indicate whether the block interleaver is enabled or disable for VRB-to-PRB mapping. </w:t>
      </w:r>
    </w:p>
    <w:p w:rsidR="0074325C" w:rsidRPr="00E4305F" w:rsidRDefault="0074325C" w:rsidP="0074325C">
      <w:pPr>
        <w:rPr>
          <w:lang w:val="en-GB"/>
        </w:rPr>
      </w:pPr>
      <w:r w:rsidRPr="00AD2BEA">
        <w:rPr>
          <w:b/>
          <w:sz w:val="24"/>
        </w:rPr>
        <w:t>Proposal</w:t>
      </w:r>
      <w:r>
        <w:rPr>
          <w:b/>
          <w:sz w:val="24"/>
        </w:rPr>
        <w:t xml:space="preserve"> 7:   When symbol level interleaving is used for VRB-to-PRB mapping, the interleaving pattern should be different for each layer and for each OFDM symbol  </w:t>
      </w:r>
    </w:p>
    <w:p w:rsidR="004A105B" w:rsidRDefault="004A105B" w:rsidP="004A105B">
      <w:pPr>
        <w:pStyle w:val="Heading1"/>
      </w:pPr>
      <w:r>
        <w:t xml:space="preserve">References </w:t>
      </w:r>
    </w:p>
    <w:p w:rsidR="004A105B" w:rsidRPr="004A105B" w:rsidRDefault="004A105B" w:rsidP="004A105B">
      <w:pPr>
        <w:pStyle w:val="2222"/>
        <w:numPr>
          <w:ilvl w:val="0"/>
          <w:numId w:val="20"/>
        </w:numPr>
        <w:spacing w:after="120" w:line="288" w:lineRule="auto"/>
        <w:ind w:firstLineChars="0"/>
        <w:rPr>
          <w:rFonts w:cs="Times New Roman"/>
          <w:sz w:val="24"/>
          <w:szCs w:val="24"/>
          <w:lang w:eastAsia="ko-KR"/>
        </w:rPr>
      </w:pPr>
      <w:bookmarkStart w:id="9" w:name="_Ref498601460"/>
      <w:r w:rsidRPr="004A105B">
        <w:rPr>
          <w:rFonts w:cs="Times New Roman"/>
          <w:sz w:val="24"/>
          <w:szCs w:val="24"/>
          <w:lang w:eastAsia="ko-KR"/>
        </w:rPr>
        <w:t>R1-1718874, On slot-based and non-slot-based scheduling, Huawei, Ericsson, AT&amp;T, Nokia</w:t>
      </w:r>
      <w:bookmarkEnd w:id="9"/>
    </w:p>
    <w:p w:rsidR="004A105B" w:rsidRPr="004A105B" w:rsidRDefault="004A105B" w:rsidP="004A105B">
      <w:pPr>
        <w:pStyle w:val="2222"/>
        <w:numPr>
          <w:ilvl w:val="0"/>
          <w:numId w:val="20"/>
        </w:numPr>
        <w:spacing w:after="120" w:line="288" w:lineRule="auto"/>
        <w:ind w:firstLineChars="0"/>
        <w:rPr>
          <w:rFonts w:cs="Times New Roman"/>
          <w:sz w:val="24"/>
          <w:szCs w:val="24"/>
          <w:lang w:eastAsia="ko-KR"/>
        </w:rPr>
      </w:pPr>
      <w:r w:rsidRPr="004A105B">
        <w:rPr>
          <w:rFonts w:cs="Times New Roman"/>
          <w:sz w:val="24"/>
          <w:szCs w:val="24"/>
          <w:lang w:eastAsia="ko-KR"/>
        </w:rPr>
        <w:t>R1-1719643, On DCI contents and formats, AT&amp;T</w:t>
      </w:r>
    </w:p>
    <w:p w:rsidR="004A105B" w:rsidRPr="004A105B" w:rsidRDefault="004A105B" w:rsidP="004A105B">
      <w:pPr>
        <w:pStyle w:val="2222"/>
        <w:numPr>
          <w:ilvl w:val="0"/>
          <w:numId w:val="20"/>
        </w:numPr>
        <w:spacing w:after="120" w:line="288" w:lineRule="auto"/>
        <w:ind w:firstLineChars="0"/>
        <w:rPr>
          <w:rFonts w:cs="Times New Roman"/>
          <w:sz w:val="24"/>
          <w:szCs w:val="24"/>
          <w:lang w:eastAsia="ko-KR"/>
        </w:rPr>
      </w:pPr>
      <w:bookmarkStart w:id="10" w:name="_Ref498608989"/>
      <w:r w:rsidRPr="004A105B">
        <w:rPr>
          <w:rFonts w:cs="Times New Roman"/>
          <w:sz w:val="24"/>
          <w:szCs w:val="24"/>
          <w:lang w:eastAsia="ko-KR"/>
        </w:rPr>
        <w:t>R1-1719648, Remaining details on DL/UL scheduling and HARQ management, AT&amp;T</w:t>
      </w:r>
      <w:bookmarkEnd w:id="10"/>
    </w:p>
    <w:p w:rsidR="003162A0" w:rsidRPr="004A105B" w:rsidRDefault="003162A0" w:rsidP="005C1BF7">
      <w:pPr>
        <w:jc w:val="both"/>
        <w:rPr>
          <w:sz w:val="24"/>
          <w:szCs w:val="24"/>
          <w:lang w:val="en-GB"/>
        </w:rPr>
      </w:pPr>
    </w:p>
    <w:bookmarkEnd w:id="1"/>
    <w:bookmarkEnd w:id="2"/>
    <w:bookmarkEnd w:id="3"/>
    <w:bookmarkEnd w:id="4"/>
    <w:bookmarkEnd w:id="5"/>
    <w:bookmarkEnd w:id="6"/>
    <w:bookmarkEnd w:id="7"/>
    <w:p w:rsidR="000C6536" w:rsidRDefault="000C6536" w:rsidP="000C6536">
      <w:pPr>
        <w:pStyle w:val="Heading1"/>
      </w:pPr>
      <w:r>
        <w:t>Appendix</w:t>
      </w:r>
    </w:p>
    <w:p w:rsidR="001D7377" w:rsidRPr="00F51ABC" w:rsidRDefault="001D7377" w:rsidP="001D7377">
      <w:pPr>
        <w:rPr>
          <w:color w:val="FF0000"/>
          <w:lang w:val="en-GB"/>
        </w:rPr>
      </w:pPr>
    </w:p>
    <w:p w:rsidR="000C6536" w:rsidRPr="00955394" w:rsidRDefault="000C6536" w:rsidP="000C6536">
      <w:pPr>
        <w:pStyle w:val="Caption"/>
        <w:jc w:val="center"/>
      </w:pPr>
      <w:r>
        <w:t xml:space="preserve">Table </w:t>
      </w:r>
      <w:r>
        <w:t>1</w:t>
      </w:r>
      <w:r>
        <w:t xml:space="preserve"> Detailed link level simulation assumptions </w:t>
      </w:r>
    </w:p>
    <w:tbl>
      <w:tblPr>
        <w:tblW w:w="0" w:type="auto"/>
        <w:tblCellMar>
          <w:left w:w="0" w:type="dxa"/>
          <w:right w:w="0" w:type="dxa"/>
        </w:tblCellMar>
        <w:tblLook w:val="0600" w:firstRow="0" w:lastRow="0" w:firstColumn="0" w:lastColumn="0" w:noHBand="1" w:noVBand="1"/>
      </w:tblPr>
      <w:tblGrid>
        <w:gridCol w:w="2998"/>
        <w:gridCol w:w="6954"/>
      </w:tblGrid>
      <w:tr w:rsidR="000C6536" w:rsidRPr="00955394" w:rsidTr="0030685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0C6536" w:rsidRPr="00955394" w:rsidRDefault="000C6536" w:rsidP="00306858">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0C6536" w:rsidRPr="00955394" w:rsidRDefault="000C6536" w:rsidP="00306858">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0C6536" w:rsidRPr="00955394" w:rsidTr="0030685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0C6536" w:rsidRPr="00A462B3" w:rsidRDefault="000C6536" w:rsidP="0030685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0C6536" w:rsidRPr="00A462B3" w:rsidRDefault="000C6536" w:rsidP="0030685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4.0 </w:t>
            </w:r>
            <w:r w:rsidRPr="00A462B3">
              <w:rPr>
                <w:rFonts w:eastAsia="Times New Roman" w:cs="SimSun"/>
                <w:color w:val="000000"/>
                <w:kern w:val="2"/>
                <w:sz w:val="24"/>
                <w:szCs w:val="24"/>
                <w:lang w:eastAsia="zh-CN"/>
              </w:rPr>
              <w:t xml:space="preserve">GHz </w:t>
            </w:r>
          </w:p>
        </w:tc>
      </w:tr>
      <w:tr w:rsidR="000C6536" w:rsidRPr="00955394" w:rsidTr="0030685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0C6536" w:rsidRPr="00A462B3" w:rsidRDefault="000C6536" w:rsidP="0030685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0C6536" w:rsidRPr="00A462B3" w:rsidRDefault="000C6536" w:rsidP="0030685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0C6536" w:rsidRPr="00955394" w:rsidTr="0030685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0C6536" w:rsidRPr="00A462B3" w:rsidRDefault="000C6536" w:rsidP="0030685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0C6536" w:rsidRPr="00A462B3" w:rsidRDefault="000C6536" w:rsidP="0030685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 MHz </w:t>
            </w:r>
          </w:p>
        </w:tc>
      </w:tr>
      <w:tr w:rsidR="000C6536" w:rsidRPr="00955394" w:rsidTr="0030685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0C6536" w:rsidRPr="00A462B3" w:rsidRDefault="000C6536" w:rsidP="0030685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0C6536" w:rsidRPr="00A462B3" w:rsidRDefault="000C6536" w:rsidP="0030685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ms</w:t>
            </w:r>
          </w:p>
        </w:tc>
      </w:tr>
      <w:tr w:rsidR="000C6536" w:rsidRPr="00955394" w:rsidTr="0030685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0C6536" w:rsidRPr="00A462B3" w:rsidRDefault="000C6536" w:rsidP="0030685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0C6536" w:rsidRPr="00A462B3" w:rsidRDefault="000C6536" w:rsidP="0030685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0C6536" w:rsidRPr="00955394" w:rsidTr="0030685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0C6536" w:rsidRPr="00A462B3" w:rsidRDefault="000C6536" w:rsidP="0030685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0C6536" w:rsidRPr="00A462B3" w:rsidRDefault="000C6536" w:rsidP="0030685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0C6536" w:rsidRPr="00955394" w:rsidTr="0030685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0C6536" w:rsidRPr="00A462B3" w:rsidRDefault="000C6536" w:rsidP="0030685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0C6536" w:rsidRPr="00A462B3" w:rsidRDefault="000C6536" w:rsidP="0030685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1024 </w:t>
            </w:r>
          </w:p>
        </w:tc>
      </w:tr>
      <w:tr w:rsidR="000C6536" w:rsidRPr="00955394" w:rsidTr="0030685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0C6536" w:rsidRPr="00A462B3" w:rsidRDefault="000C6536" w:rsidP="0030685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0C6536" w:rsidRPr="00A462B3" w:rsidRDefault="000C6536" w:rsidP="00306858">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48 subcarriers for 15 KHZ spacing </w:t>
            </w:r>
          </w:p>
        </w:tc>
      </w:tr>
      <w:tr w:rsidR="000C6536" w:rsidRPr="00955394" w:rsidTr="0030685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0C6536" w:rsidRPr="00A462B3" w:rsidRDefault="000C6536" w:rsidP="0030685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0C6536" w:rsidRPr="00A462B3" w:rsidRDefault="000C6536" w:rsidP="0030685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(4,4</w:t>
            </w:r>
            <w:r>
              <w:rPr>
                <w:rFonts w:eastAsia="Times New Roman" w:cs="SimSun"/>
                <w:color w:val="000000"/>
                <w:kern w:val="2"/>
                <w:sz w:val="24"/>
                <w:szCs w:val="24"/>
                <w:lang w:eastAsia="zh-CN"/>
              </w:rPr>
              <w:t>,2,1,1)</w:t>
            </w:r>
          </w:p>
        </w:tc>
      </w:tr>
      <w:tr w:rsidR="000C6536" w:rsidRPr="00955394" w:rsidTr="0030685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0C6536" w:rsidRPr="00A462B3" w:rsidRDefault="000C6536" w:rsidP="00306858">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0C6536" w:rsidRDefault="000C6536" w:rsidP="00306858">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1</w:t>
            </w:r>
          </w:p>
        </w:tc>
      </w:tr>
      <w:tr w:rsidR="000C6536" w:rsidRPr="00955394" w:rsidTr="0030685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0C6536" w:rsidRDefault="000C6536" w:rsidP="00306858">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Precoding codebook</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0C6536" w:rsidRDefault="000C6536" w:rsidP="00306858">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LTE-Release 8</w:t>
            </w:r>
          </w:p>
        </w:tc>
      </w:tr>
      <w:tr w:rsidR="000C6536" w:rsidRPr="00955394" w:rsidTr="0030685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0C6536" w:rsidRDefault="000C6536" w:rsidP="00306858">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0C6536" w:rsidRDefault="000C6536" w:rsidP="00306858">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 turbo code</w:t>
            </w:r>
          </w:p>
        </w:tc>
      </w:tr>
      <w:tr w:rsidR="000C6536" w:rsidRPr="00955394" w:rsidTr="0030685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0C6536" w:rsidRPr="00A462B3" w:rsidRDefault="000C6536" w:rsidP="0030685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0C6536" w:rsidRPr="00A462B3" w:rsidRDefault="000C6536" w:rsidP="0030685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For link adaptation: QPSK, 16-QAM and 64-QAM are considered with variable code rate</w:t>
            </w:r>
          </w:p>
        </w:tc>
      </w:tr>
      <w:tr w:rsidR="000C6536" w:rsidRPr="00955394" w:rsidTr="0030685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0C6536" w:rsidRPr="00A462B3" w:rsidRDefault="000C6536" w:rsidP="0030685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0C6536" w:rsidRPr="00A462B3" w:rsidRDefault="000C6536" w:rsidP="0030685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0C6536" w:rsidRPr="00955394" w:rsidTr="0030685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0C6536" w:rsidRPr="00A462B3" w:rsidRDefault="000C6536" w:rsidP="0030685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0C6536" w:rsidRPr="00A462B3" w:rsidRDefault="000C6536" w:rsidP="000C6536">
            <w:pPr>
              <w:overflowPunct/>
              <w:autoSpaceDE/>
              <w:autoSpaceDN/>
              <w:adjustRightInd/>
              <w:spacing w:after="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Practical</w:t>
            </w:r>
          </w:p>
        </w:tc>
      </w:tr>
      <w:tr w:rsidR="000C6536" w:rsidRPr="00955394" w:rsidTr="0030685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0C6536" w:rsidRPr="00376E09" w:rsidRDefault="000C6536" w:rsidP="00306858">
            <w:pPr>
              <w:pStyle w:val="TableText"/>
              <w:tabs>
                <w:tab w:val="clear" w:pos="1191"/>
                <w:tab w:val="clear" w:pos="1588"/>
                <w:tab w:val="clear" w:pos="1985"/>
                <w:tab w:val="center" w:pos="1380"/>
              </w:tabs>
              <w:spacing w:before="60" w:after="60"/>
              <w:rPr>
                <w:b/>
                <w:sz w:val="24"/>
                <w:szCs w:val="24"/>
              </w:rPr>
            </w:pPr>
            <w:r w:rsidRPr="00376E09">
              <w:rPr>
                <w:b/>
                <w:sz w:val="24"/>
                <w:szCs w:val="24"/>
              </w:rPr>
              <w:t>ACK/NACK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0C6536" w:rsidRPr="00364E4D" w:rsidRDefault="000C6536" w:rsidP="00306858">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0C6536" w:rsidRPr="00955394" w:rsidTr="0030685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0C6536" w:rsidRPr="00376E09" w:rsidRDefault="000C6536" w:rsidP="00306858">
            <w:pPr>
              <w:pStyle w:val="TableText"/>
              <w:tabs>
                <w:tab w:val="clear" w:pos="1191"/>
                <w:tab w:val="clear" w:pos="1588"/>
                <w:tab w:val="clear" w:pos="1985"/>
                <w:tab w:val="center" w:pos="1380"/>
              </w:tabs>
              <w:spacing w:before="60" w:after="60"/>
              <w:rPr>
                <w:b/>
                <w:sz w:val="24"/>
                <w:szCs w:val="24"/>
              </w:rPr>
            </w:pPr>
            <w:r>
              <w:rPr>
                <w:b/>
                <w:sz w:val="24"/>
                <w:szCs w:val="24"/>
              </w:rPr>
              <w:t>PM</w:t>
            </w:r>
            <w:r w:rsidRPr="00376E09">
              <w:rPr>
                <w:b/>
                <w:sz w:val="24"/>
                <w:szCs w:val="24"/>
              </w:rPr>
              <w:t>I / rank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0C6536" w:rsidRPr="00364E4D" w:rsidRDefault="000C6536" w:rsidP="00306858">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0C6536" w:rsidRPr="00955394" w:rsidTr="0030685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0C6536" w:rsidRPr="00376E09" w:rsidRDefault="000C6536" w:rsidP="00306858">
            <w:pPr>
              <w:pStyle w:val="TableText"/>
              <w:tabs>
                <w:tab w:val="clear" w:pos="1191"/>
                <w:tab w:val="clear" w:pos="1588"/>
                <w:tab w:val="clear" w:pos="1985"/>
                <w:tab w:val="center" w:pos="1380"/>
              </w:tabs>
              <w:spacing w:before="60" w:after="60"/>
              <w:rPr>
                <w:b/>
                <w:sz w:val="24"/>
                <w:szCs w:val="24"/>
              </w:rPr>
            </w:pPr>
            <w:r w:rsidRPr="00376E09">
              <w:rPr>
                <w:b/>
                <w:sz w:val="24"/>
                <w:szCs w:val="24"/>
              </w:rPr>
              <w:t>CQI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0C6536" w:rsidRPr="00364E4D" w:rsidRDefault="000C6536" w:rsidP="00306858">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0C6536" w:rsidRPr="00955394" w:rsidTr="0030685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0C6536" w:rsidRPr="00376E09" w:rsidRDefault="000C6536" w:rsidP="00306858">
            <w:pPr>
              <w:pStyle w:val="TableText"/>
              <w:tabs>
                <w:tab w:val="clear" w:pos="1191"/>
                <w:tab w:val="clear" w:pos="1588"/>
                <w:tab w:val="clear" w:pos="1985"/>
                <w:tab w:val="center" w:pos="1380"/>
              </w:tabs>
              <w:spacing w:before="60" w:after="60"/>
              <w:rPr>
                <w:b/>
                <w:i/>
                <w:sz w:val="24"/>
                <w:szCs w:val="24"/>
              </w:rPr>
            </w:pPr>
            <w:r w:rsidRPr="00376E09">
              <w:rPr>
                <w:b/>
                <w:sz w:val="24"/>
                <w:szCs w:val="24"/>
              </w:rPr>
              <w:t>Feedback delay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0C6536" w:rsidRPr="00364E4D" w:rsidRDefault="000C6536" w:rsidP="00306858">
            <w:pPr>
              <w:pStyle w:val="TableText"/>
              <w:tabs>
                <w:tab w:val="clear" w:pos="1191"/>
                <w:tab w:val="clear" w:pos="1588"/>
                <w:tab w:val="clear" w:pos="1985"/>
                <w:tab w:val="center" w:pos="1380"/>
              </w:tabs>
              <w:spacing w:before="60" w:after="60"/>
              <w:rPr>
                <w:snapToGrid w:val="0"/>
                <w:sz w:val="24"/>
                <w:szCs w:val="24"/>
                <w:lang w:val="en-AU"/>
              </w:rPr>
            </w:pPr>
            <w:r>
              <w:rPr>
                <w:snapToGrid w:val="0"/>
                <w:sz w:val="24"/>
                <w:szCs w:val="24"/>
              </w:rPr>
              <w:t>4 TTI</w:t>
            </w:r>
          </w:p>
        </w:tc>
      </w:tr>
    </w:tbl>
    <w:p w:rsidR="0076369B" w:rsidRPr="001D7377" w:rsidRDefault="0076369B">
      <w:pPr>
        <w:rPr>
          <w:lang w:val="en-GB"/>
        </w:rPr>
      </w:pPr>
    </w:p>
    <w:sectPr w:rsidR="0076369B" w:rsidRPr="001D7377" w:rsidSect="001D7377">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60B" w:rsidRDefault="00F9260B" w:rsidP="00A03DF3">
      <w:pPr>
        <w:spacing w:after="0"/>
      </w:pPr>
      <w:r>
        <w:separator/>
      </w:r>
    </w:p>
  </w:endnote>
  <w:endnote w:type="continuationSeparator" w:id="0">
    <w:p w:rsidR="00F9260B" w:rsidRDefault="00F9260B"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5BA" w:rsidRDefault="001E45BA"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E45BA" w:rsidRDefault="001E45BA"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5BA" w:rsidRDefault="001E45BA"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74325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325C">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60B" w:rsidRDefault="00F9260B" w:rsidP="00A03DF3">
      <w:pPr>
        <w:spacing w:after="0"/>
      </w:pPr>
      <w:r>
        <w:separator/>
      </w:r>
    </w:p>
  </w:footnote>
  <w:footnote w:type="continuationSeparator" w:id="0">
    <w:p w:rsidR="00F9260B" w:rsidRDefault="00F9260B"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5BA" w:rsidRDefault="001E45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C374F0D4"/>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6"/>
  </w:num>
  <w:num w:numId="4">
    <w:abstractNumId w:val="21"/>
  </w:num>
  <w:num w:numId="5">
    <w:abstractNumId w:val="10"/>
  </w:num>
  <w:num w:numId="6">
    <w:abstractNumId w:val="1"/>
  </w:num>
  <w:num w:numId="7">
    <w:abstractNumId w:val="4"/>
  </w:num>
  <w:num w:numId="8">
    <w:abstractNumId w:val="22"/>
  </w:num>
  <w:num w:numId="9">
    <w:abstractNumId w:val="14"/>
  </w:num>
  <w:num w:numId="10">
    <w:abstractNumId w:val="12"/>
  </w:num>
  <w:num w:numId="11">
    <w:abstractNumId w:val="7"/>
  </w:num>
  <w:num w:numId="12">
    <w:abstractNumId w:val="13"/>
  </w:num>
  <w:num w:numId="13">
    <w:abstractNumId w:val="18"/>
  </w:num>
  <w:num w:numId="14">
    <w:abstractNumId w:val="8"/>
  </w:num>
  <w:num w:numId="15">
    <w:abstractNumId w:val="16"/>
  </w:num>
  <w:num w:numId="16">
    <w:abstractNumId w:val="17"/>
  </w:num>
  <w:num w:numId="17">
    <w:abstractNumId w:val="11"/>
  </w:num>
  <w:num w:numId="18">
    <w:abstractNumId w:val="20"/>
  </w:num>
  <w:num w:numId="19">
    <w:abstractNumId w:val="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16CFC"/>
    <w:rsid w:val="00022F67"/>
    <w:rsid w:val="00027FBF"/>
    <w:rsid w:val="00033AB4"/>
    <w:rsid w:val="00035E71"/>
    <w:rsid w:val="0005023F"/>
    <w:rsid w:val="00052A68"/>
    <w:rsid w:val="00053D43"/>
    <w:rsid w:val="0005601B"/>
    <w:rsid w:val="0005671C"/>
    <w:rsid w:val="00062845"/>
    <w:rsid w:val="0006475D"/>
    <w:rsid w:val="000757B2"/>
    <w:rsid w:val="000805C7"/>
    <w:rsid w:val="0008575E"/>
    <w:rsid w:val="00085D91"/>
    <w:rsid w:val="0008663E"/>
    <w:rsid w:val="00091B17"/>
    <w:rsid w:val="00093D59"/>
    <w:rsid w:val="000A3623"/>
    <w:rsid w:val="000A5A36"/>
    <w:rsid w:val="000A5B91"/>
    <w:rsid w:val="000B35B2"/>
    <w:rsid w:val="000B6E64"/>
    <w:rsid w:val="000C3D85"/>
    <w:rsid w:val="000C4171"/>
    <w:rsid w:val="000C46C4"/>
    <w:rsid w:val="000C6536"/>
    <w:rsid w:val="000D33C1"/>
    <w:rsid w:val="000D419C"/>
    <w:rsid w:val="000D6361"/>
    <w:rsid w:val="000E0D6D"/>
    <w:rsid w:val="000F70D6"/>
    <w:rsid w:val="00104990"/>
    <w:rsid w:val="00107EBD"/>
    <w:rsid w:val="0011029A"/>
    <w:rsid w:val="001153C1"/>
    <w:rsid w:val="0011607E"/>
    <w:rsid w:val="00117254"/>
    <w:rsid w:val="00121FDA"/>
    <w:rsid w:val="00122AF3"/>
    <w:rsid w:val="00123796"/>
    <w:rsid w:val="001378E4"/>
    <w:rsid w:val="00141AC7"/>
    <w:rsid w:val="001503C9"/>
    <w:rsid w:val="00150F00"/>
    <w:rsid w:val="00163456"/>
    <w:rsid w:val="00163537"/>
    <w:rsid w:val="00166016"/>
    <w:rsid w:val="00171DA7"/>
    <w:rsid w:val="00176CF7"/>
    <w:rsid w:val="00181467"/>
    <w:rsid w:val="00183B2D"/>
    <w:rsid w:val="00184167"/>
    <w:rsid w:val="001A6B8A"/>
    <w:rsid w:val="001B40DD"/>
    <w:rsid w:val="001B4500"/>
    <w:rsid w:val="001C18B8"/>
    <w:rsid w:val="001C207E"/>
    <w:rsid w:val="001D3850"/>
    <w:rsid w:val="001D603C"/>
    <w:rsid w:val="001D7377"/>
    <w:rsid w:val="001E032A"/>
    <w:rsid w:val="001E0FE1"/>
    <w:rsid w:val="001E170C"/>
    <w:rsid w:val="001E45BA"/>
    <w:rsid w:val="001E52C0"/>
    <w:rsid w:val="001E6B93"/>
    <w:rsid w:val="001F3285"/>
    <w:rsid w:val="001F7ECB"/>
    <w:rsid w:val="00203F1F"/>
    <w:rsid w:val="002044F6"/>
    <w:rsid w:val="0020510F"/>
    <w:rsid w:val="00206D78"/>
    <w:rsid w:val="00206DA2"/>
    <w:rsid w:val="00207CDD"/>
    <w:rsid w:val="00213CA9"/>
    <w:rsid w:val="00215DBE"/>
    <w:rsid w:val="00215F33"/>
    <w:rsid w:val="002202F4"/>
    <w:rsid w:val="002224D7"/>
    <w:rsid w:val="00223687"/>
    <w:rsid w:val="002278C8"/>
    <w:rsid w:val="00236B88"/>
    <w:rsid w:val="002376BC"/>
    <w:rsid w:val="00241C0E"/>
    <w:rsid w:val="00250D87"/>
    <w:rsid w:val="00251309"/>
    <w:rsid w:val="00254DFE"/>
    <w:rsid w:val="00255F4E"/>
    <w:rsid w:val="002571CD"/>
    <w:rsid w:val="00262836"/>
    <w:rsid w:val="00262EB7"/>
    <w:rsid w:val="0026427E"/>
    <w:rsid w:val="00266DBB"/>
    <w:rsid w:val="00270E7D"/>
    <w:rsid w:val="00270FD6"/>
    <w:rsid w:val="00273449"/>
    <w:rsid w:val="00273B90"/>
    <w:rsid w:val="002869B5"/>
    <w:rsid w:val="00290147"/>
    <w:rsid w:val="002908B8"/>
    <w:rsid w:val="002965A1"/>
    <w:rsid w:val="002B1BBC"/>
    <w:rsid w:val="002B26F8"/>
    <w:rsid w:val="002B4DE6"/>
    <w:rsid w:val="002B7AD3"/>
    <w:rsid w:val="002C549E"/>
    <w:rsid w:val="002C5917"/>
    <w:rsid w:val="002D0652"/>
    <w:rsid w:val="002D38A3"/>
    <w:rsid w:val="002D3BBB"/>
    <w:rsid w:val="002D715D"/>
    <w:rsid w:val="002E49EA"/>
    <w:rsid w:val="002E71E9"/>
    <w:rsid w:val="00304012"/>
    <w:rsid w:val="00304027"/>
    <w:rsid w:val="003117D7"/>
    <w:rsid w:val="003162A0"/>
    <w:rsid w:val="00330C32"/>
    <w:rsid w:val="00333EA4"/>
    <w:rsid w:val="0033601D"/>
    <w:rsid w:val="00336610"/>
    <w:rsid w:val="00340E46"/>
    <w:rsid w:val="00341EE1"/>
    <w:rsid w:val="003508E5"/>
    <w:rsid w:val="00354411"/>
    <w:rsid w:val="00356C44"/>
    <w:rsid w:val="00357FA4"/>
    <w:rsid w:val="0036038B"/>
    <w:rsid w:val="003633EC"/>
    <w:rsid w:val="00363793"/>
    <w:rsid w:val="003640A1"/>
    <w:rsid w:val="00365410"/>
    <w:rsid w:val="00376E09"/>
    <w:rsid w:val="003778D9"/>
    <w:rsid w:val="003807F0"/>
    <w:rsid w:val="003828FD"/>
    <w:rsid w:val="00391A88"/>
    <w:rsid w:val="003941F8"/>
    <w:rsid w:val="003A0C90"/>
    <w:rsid w:val="003A1DCE"/>
    <w:rsid w:val="003A4DC8"/>
    <w:rsid w:val="003B157F"/>
    <w:rsid w:val="003B227C"/>
    <w:rsid w:val="003B3D72"/>
    <w:rsid w:val="003B45FF"/>
    <w:rsid w:val="003B54CF"/>
    <w:rsid w:val="003B5DAA"/>
    <w:rsid w:val="003B7C1A"/>
    <w:rsid w:val="003C04C9"/>
    <w:rsid w:val="003C4795"/>
    <w:rsid w:val="003D021A"/>
    <w:rsid w:val="003D0E87"/>
    <w:rsid w:val="003D1100"/>
    <w:rsid w:val="003D4600"/>
    <w:rsid w:val="003E540E"/>
    <w:rsid w:val="003E5BF0"/>
    <w:rsid w:val="003F0A31"/>
    <w:rsid w:val="003F2CAE"/>
    <w:rsid w:val="003F4AB6"/>
    <w:rsid w:val="003F5BA3"/>
    <w:rsid w:val="003F5DD8"/>
    <w:rsid w:val="003F5F4A"/>
    <w:rsid w:val="00403DA1"/>
    <w:rsid w:val="00406FC3"/>
    <w:rsid w:val="0041020B"/>
    <w:rsid w:val="0041434F"/>
    <w:rsid w:val="00416848"/>
    <w:rsid w:val="0041687B"/>
    <w:rsid w:val="00417010"/>
    <w:rsid w:val="00422914"/>
    <w:rsid w:val="004300D7"/>
    <w:rsid w:val="00434119"/>
    <w:rsid w:val="00434EBF"/>
    <w:rsid w:val="004353EE"/>
    <w:rsid w:val="0044468E"/>
    <w:rsid w:val="00453A96"/>
    <w:rsid w:val="00457047"/>
    <w:rsid w:val="00462142"/>
    <w:rsid w:val="00462951"/>
    <w:rsid w:val="00463492"/>
    <w:rsid w:val="00463D9B"/>
    <w:rsid w:val="00471774"/>
    <w:rsid w:val="00473F41"/>
    <w:rsid w:val="0047555C"/>
    <w:rsid w:val="00480CEE"/>
    <w:rsid w:val="0048133C"/>
    <w:rsid w:val="00484322"/>
    <w:rsid w:val="004858BC"/>
    <w:rsid w:val="00485D09"/>
    <w:rsid w:val="00490F4F"/>
    <w:rsid w:val="00495F4E"/>
    <w:rsid w:val="004A105B"/>
    <w:rsid w:val="004A4882"/>
    <w:rsid w:val="004A50A4"/>
    <w:rsid w:val="004A5460"/>
    <w:rsid w:val="004A572C"/>
    <w:rsid w:val="004B2A42"/>
    <w:rsid w:val="004C41A1"/>
    <w:rsid w:val="004D64E1"/>
    <w:rsid w:val="004D6C56"/>
    <w:rsid w:val="004E04EB"/>
    <w:rsid w:val="004E24E6"/>
    <w:rsid w:val="004E3F78"/>
    <w:rsid w:val="004E3F91"/>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3B7F"/>
    <w:rsid w:val="00560537"/>
    <w:rsid w:val="0056606F"/>
    <w:rsid w:val="00571503"/>
    <w:rsid w:val="005755BD"/>
    <w:rsid w:val="005772A3"/>
    <w:rsid w:val="00582D9F"/>
    <w:rsid w:val="00594727"/>
    <w:rsid w:val="00594E1F"/>
    <w:rsid w:val="005958FA"/>
    <w:rsid w:val="005B5324"/>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77E0"/>
    <w:rsid w:val="0064189C"/>
    <w:rsid w:val="00645BD5"/>
    <w:rsid w:val="0065349A"/>
    <w:rsid w:val="00653B6D"/>
    <w:rsid w:val="0066213B"/>
    <w:rsid w:val="006625D4"/>
    <w:rsid w:val="00663C41"/>
    <w:rsid w:val="006649FF"/>
    <w:rsid w:val="00666FDA"/>
    <w:rsid w:val="00677A79"/>
    <w:rsid w:val="00684B74"/>
    <w:rsid w:val="0068643D"/>
    <w:rsid w:val="00690CCF"/>
    <w:rsid w:val="00693ACA"/>
    <w:rsid w:val="006A0FCB"/>
    <w:rsid w:val="006A4EF3"/>
    <w:rsid w:val="006A63DA"/>
    <w:rsid w:val="006C0BF6"/>
    <w:rsid w:val="006C1067"/>
    <w:rsid w:val="006C11AA"/>
    <w:rsid w:val="006C5324"/>
    <w:rsid w:val="006C5761"/>
    <w:rsid w:val="006C71FB"/>
    <w:rsid w:val="006D04C7"/>
    <w:rsid w:val="006D2CAE"/>
    <w:rsid w:val="006D40F0"/>
    <w:rsid w:val="006D7EDD"/>
    <w:rsid w:val="006E106D"/>
    <w:rsid w:val="006E622A"/>
    <w:rsid w:val="006F40C3"/>
    <w:rsid w:val="00700961"/>
    <w:rsid w:val="007025ED"/>
    <w:rsid w:val="00703FD1"/>
    <w:rsid w:val="00704914"/>
    <w:rsid w:val="007109A5"/>
    <w:rsid w:val="00713A97"/>
    <w:rsid w:val="007222D9"/>
    <w:rsid w:val="0074325C"/>
    <w:rsid w:val="007570AF"/>
    <w:rsid w:val="0076369B"/>
    <w:rsid w:val="00765997"/>
    <w:rsid w:val="00767F04"/>
    <w:rsid w:val="00785155"/>
    <w:rsid w:val="007855B5"/>
    <w:rsid w:val="007950E7"/>
    <w:rsid w:val="00796B08"/>
    <w:rsid w:val="007978F3"/>
    <w:rsid w:val="007A4702"/>
    <w:rsid w:val="007A7A8B"/>
    <w:rsid w:val="007B2DF9"/>
    <w:rsid w:val="007B3085"/>
    <w:rsid w:val="007B36C0"/>
    <w:rsid w:val="007B3DE9"/>
    <w:rsid w:val="007B6F19"/>
    <w:rsid w:val="007B6F7A"/>
    <w:rsid w:val="007C664B"/>
    <w:rsid w:val="007D09C6"/>
    <w:rsid w:val="007D1A99"/>
    <w:rsid w:val="007E468D"/>
    <w:rsid w:val="007E4FCE"/>
    <w:rsid w:val="007E543E"/>
    <w:rsid w:val="007E5D36"/>
    <w:rsid w:val="007F0554"/>
    <w:rsid w:val="007F5FD1"/>
    <w:rsid w:val="007F75FA"/>
    <w:rsid w:val="00801C4B"/>
    <w:rsid w:val="008054A6"/>
    <w:rsid w:val="00811D32"/>
    <w:rsid w:val="00814F75"/>
    <w:rsid w:val="00816FB9"/>
    <w:rsid w:val="008254A0"/>
    <w:rsid w:val="00825EC8"/>
    <w:rsid w:val="00834F15"/>
    <w:rsid w:val="008363E3"/>
    <w:rsid w:val="00836F9B"/>
    <w:rsid w:val="00841D9F"/>
    <w:rsid w:val="00843B46"/>
    <w:rsid w:val="00844DD9"/>
    <w:rsid w:val="00845529"/>
    <w:rsid w:val="0085652A"/>
    <w:rsid w:val="0086141D"/>
    <w:rsid w:val="008645B9"/>
    <w:rsid w:val="00866E9B"/>
    <w:rsid w:val="008761F5"/>
    <w:rsid w:val="0087688E"/>
    <w:rsid w:val="00883BE5"/>
    <w:rsid w:val="00885521"/>
    <w:rsid w:val="0089064F"/>
    <w:rsid w:val="00890DF3"/>
    <w:rsid w:val="00891169"/>
    <w:rsid w:val="00892DFC"/>
    <w:rsid w:val="0089393E"/>
    <w:rsid w:val="00895900"/>
    <w:rsid w:val="008976FF"/>
    <w:rsid w:val="008A0C05"/>
    <w:rsid w:val="008A4738"/>
    <w:rsid w:val="008A57AA"/>
    <w:rsid w:val="008A598D"/>
    <w:rsid w:val="008A6C64"/>
    <w:rsid w:val="008A7C64"/>
    <w:rsid w:val="008A7EB6"/>
    <w:rsid w:val="008B0ED9"/>
    <w:rsid w:val="008B6A46"/>
    <w:rsid w:val="008B73CB"/>
    <w:rsid w:val="008C0986"/>
    <w:rsid w:val="008C2FCB"/>
    <w:rsid w:val="008C7323"/>
    <w:rsid w:val="008C7FF6"/>
    <w:rsid w:val="008D1BDD"/>
    <w:rsid w:val="008E1849"/>
    <w:rsid w:val="008E3B12"/>
    <w:rsid w:val="008E5AEC"/>
    <w:rsid w:val="008E79CD"/>
    <w:rsid w:val="008F6D92"/>
    <w:rsid w:val="009014E4"/>
    <w:rsid w:val="009060A4"/>
    <w:rsid w:val="0090658D"/>
    <w:rsid w:val="009067DC"/>
    <w:rsid w:val="00907B1C"/>
    <w:rsid w:val="00912271"/>
    <w:rsid w:val="009219A0"/>
    <w:rsid w:val="00922408"/>
    <w:rsid w:val="00925E3F"/>
    <w:rsid w:val="00926AF5"/>
    <w:rsid w:val="00934C11"/>
    <w:rsid w:val="009356F7"/>
    <w:rsid w:val="00935907"/>
    <w:rsid w:val="00936B02"/>
    <w:rsid w:val="00944073"/>
    <w:rsid w:val="00945B9A"/>
    <w:rsid w:val="00945E3A"/>
    <w:rsid w:val="00957C19"/>
    <w:rsid w:val="00961690"/>
    <w:rsid w:val="009645FC"/>
    <w:rsid w:val="009654FF"/>
    <w:rsid w:val="00972CFD"/>
    <w:rsid w:val="00972FCB"/>
    <w:rsid w:val="00973A17"/>
    <w:rsid w:val="00982EB1"/>
    <w:rsid w:val="00986526"/>
    <w:rsid w:val="009A7287"/>
    <w:rsid w:val="009A7941"/>
    <w:rsid w:val="009B34F4"/>
    <w:rsid w:val="009C0041"/>
    <w:rsid w:val="009C103C"/>
    <w:rsid w:val="009D12EA"/>
    <w:rsid w:val="009D2495"/>
    <w:rsid w:val="009D276B"/>
    <w:rsid w:val="009D387D"/>
    <w:rsid w:val="009D605C"/>
    <w:rsid w:val="009E18E7"/>
    <w:rsid w:val="009E4126"/>
    <w:rsid w:val="009F4239"/>
    <w:rsid w:val="009F785F"/>
    <w:rsid w:val="00A03DF3"/>
    <w:rsid w:val="00A106F7"/>
    <w:rsid w:val="00A14AA4"/>
    <w:rsid w:val="00A16C83"/>
    <w:rsid w:val="00A208EC"/>
    <w:rsid w:val="00A25B28"/>
    <w:rsid w:val="00A302E4"/>
    <w:rsid w:val="00A316B5"/>
    <w:rsid w:val="00A36F7A"/>
    <w:rsid w:val="00A427F5"/>
    <w:rsid w:val="00A42970"/>
    <w:rsid w:val="00A44783"/>
    <w:rsid w:val="00A45CAD"/>
    <w:rsid w:val="00A462B3"/>
    <w:rsid w:val="00A53E2F"/>
    <w:rsid w:val="00A6229F"/>
    <w:rsid w:val="00A6493F"/>
    <w:rsid w:val="00A706A9"/>
    <w:rsid w:val="00A71730"/>
    <w:rsid w:val="00A72B5A"/>
    <w:rsid w:val="00A75D29"/>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D5367"/>
    <w:rsid w:val="00AE1C30"/>
    <w:rsid w:val="00AF11BB"/>
    <w:rsid w:val="00AF44A1"/>
    <w:rsid w:val="00AF7DB7"/>
    <w:rsid w:val="00B04477"/>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4603C"/>
    <w:rsid w:val="00B50BAC"/>
    <w:rsid w:val="00B55255"/>
    <w:rsid w:val="00B559C9"/>
    <w:rsid w:val="00B65A0C"/>
    <w:rsid w:val="00B7005D"/>
    <w:rsid w:val="00B700F1"/>
    <w:rsid w:val="00B77023"/>
    <w:rsid w:val="00B773C1"/>
    <w:rsid w:val="00B77FB7"/>
    <w:rsid w:val="00B861ED"/>
    <w:rsid w:val="00B86C48"/>
    <w:rsid w:val="00B906FE"/>
    <w:rsid w:val="00B9426F"/>
    <w:rsid w:val="00B96C8E"/>
    <w:rsid w:val="00B97AA9"/>
    <w:rsid w:val="00BA464B"/>
    <w:rsid w:val="00BA7A88"/>
    <w:rsid w:val="00BB322A"/>
    <w:rsid w:val="00BB3489"/>
    <w:rsid w:val="00BB7397"/>
    <w:rsid w:val="00BC21A8"/>
    <w:rsid w:val="00BC2440"/>
    <w:rsid w:val="00BC4D47"/>
    <w:rsid w:val="00BC6517"/>
    <w:rsid w:val="00BC7ED4"/>
    <w:rsid w:val="00BD1226"/>
    <w:rsid w:val="00BE1F73"/>
    <w:rsid w:val="00BE6B53"/>
    <w:rsid w:val="00BF2E34"/>
    <w:rsid w:val="00C07B6C"/>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82425"/>
    <w:rsid w:val="00C95284"/>
    <w:rsid w:val="00C96087"/>
    <w:rsid w:val="00C97249"/>
    <w:rsid w:val="00CB46DD"/>
    <w:rsid w:val="00CB4760"/>
    <w:rsid w:val="00CB5E6A"/>
    <w:rsid w:val="00CC1A3C"/>
    <w:rsid w:val="00CC1D10"/>
    <w:rsid w:val="00CD3FFB"/>
    <w:rsid w:val="00CD4BDE"/>
    <w:rsid w:val="00CE6A87"/>
    <w:rsid w:val="00CF1231"/>
    <w:rsid w:val="00CF2D90"/>
    <w:rsid w:val="00CF51E5"/>
    <w:rsid w:val="00CF5EEA"/>
    <w:rsid w:val="00D017C7"/>
    <w:rsid w:val="00D05C77"/>
    <w:rsid w:val="00D106A6"/>
    <w:rsid w:val="00D1087A"/>
    <w:rsid w:val="00D14735"/>
    <w:rsid w:val="00D20525"/>
    <w:rsid w:val="00D229E2"/>
    <w:rsid w:val="00D23CC4"/>
    <w:rsid w:val="00D2655C"/>
    <w:rsid w:val="00D31334"/>
    <w:rsid w:val="00D345AE"/>
    <w:rsid w:val="00D355FC"/>
    <w:rsid w:val="00D368E3"/>
    <w:rsid w:val="00D42A35"/>
    <w:rsid w:val="00D44C6E"/>
    <w:rsid w:val="00D54F5C"/>
    <w:rsid w:val="00D73516"/>
    <w:rsid w:val="00D820FC"/>
    <w:rsid w:val="00D83702"/>
    <w:rsid w:val="00D83D5E"/>
    <w:rsid w:val="00DA184E"/>
    <w:rsid w:val="00DA4DA5"/>
    <w:rsid w:val="00DA5B33"/>
    <w:rsid w:val="00DA6BEE"/>
    <w:rsid w:val="00DA7B6D"/>
    <w:rsid w:val="00DB62FD"/>
    <w:rsid w:val="00DC1163"/>
    <w:rsid w:val="00DC2EEC"/>
    <w:rsid w:val="00DD5471"/>
    <w:rsid w:val="00DE4482"/>
    <w:rsid w:val="00DE5572"/>
    <w:rsid w:val="00DF0086"/>
    <w:rsid w:val="00DF34A8"/>
    <w:rsid w:val="00DF3E41"/>
    <w:rsid w:val="00E00063"/>
    <w:rsid w:val="00E04EDA"/>
    <w:rsid w:val="00E05CD9"/>
    <w:rsid w:val="00E362BE"/>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A5089"/>
    <w:rsid w:val="00EA68A6"/>
    <w:rsid w:val="00EB6F52"/>
    <w:rsid w:val="00EB7589"/>
    <w:rsid w:val="00EB7EC2"/>
    <w:rsid w:val="00ED43F7"/>
    <w:rsid w:val="00EE0EBE"/>
    <w:rsid w:val="00EE26C2"/>
    <w:rsid w:val="00F07248"/>
    <w:rsid w:val="00F11815"/>
    <w:rsid w:val="00F13661"/>
    <w:rsid w:val="00F217E8"/>
    <w:rsid w:val="00F23B3F"/>
    <w:rsid w:val="00F23BE9"/>
    <w:rsid w:val="00F316CF"/>
    <w:rsid w:val="00F4087A"/>
    <w:rsid w:val="00F41796"/>
    <w:rsid w:val="00F429D4"/>
    <w:rsid w:val="00F4313C"/>
    <w:rsid w:val="00F506AC"/>
    <w:rsid w:val="00F537D6"/>
    <w:rsid w:val="00F634AC"/>
    <w:rsid w:val="00F63526"/>
    <w:rsid w:val="00F670FA"/>
    <w:rsid w:val="00F67317"/>
    <w:rsid w:val="00F67A74"/>
    <w:rsid w:val="00F736DB"/>
    <w:rsid w:val="00F749F8"/>
    <w:rsid w:val="00F81EE0"/>
    <w:rsid w:val="00F9260B"/>
    <w:rsid w:val="00F93FB4"/>
    <w:rsid w:val="00FA1851"/>
    <w:rsid w:val="00FB10A8"/>
    <w:rsid w:val="00FB1B76"/>
    <w:rsid w:val="00FB3853"/>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D7377"/>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rsid w:val="001D7377"/>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paragraph" w:styleId="Header">
    <w:name w:val="header"/>
    <w:basedOn w:val="Normal"/>
    <w:link w:val="HeaderChar"/>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character" w:customStyle="1" w:styleId="bodyChar">
    <w:name w:val="body Char"/>
    <w:link w:val="body"/>
    <w:rsid w:val="001D7377"/>
    <w:rPr>
      <w:rFonts w:ascii="New York" w:eastAsia="SimSun" w:hAnsi="New York" w:cs="Times New Roman"/>
      <w:sz w:val="24"/>
      <w:szCs w:val="20"/>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styleId="Hyperlink">
    <w:name w:val="Hyperlink"/>
    <w:uiPriority w:val="99"/>
    <w:rsid w:val="001D7377"/>
    <w:rPr>
      <w:color w:val="0000FF"/>
      <w:u w:val="single"/>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5"/>
      </w:numPr>
      <w:overflowPunct/>
      <w:adjustRightInd/>
      <w:snapToGrid w:val="0"/>
      <w:spacing w:after="60"/>
      <w:jc w:val="both"/>
      <w:textAlignment w:val="auto"/>
    </w:pPr>
    <w:rPr>
      <w:szCs w:val="16"/>
    </w:rPr>
  </w:style>
  <w:style w:type="paragraph" w:customStyle="1" w:styleId="2222">
    <w:name w:val="스타일 스타일 스타일 스타일 양쪽 첫 줄:  2 글자 + 첫 줄:  2 글자 + 첫 줄:  2 글자 + 첫 줄:  2..."/>
    <w:basedOn w:val="Normal"/>
    <w:link w:val="2222Char"/>
    <w:rsid w:val="00945E3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945E3A"/>
    <w:rPr>
      <w:rFonts w:ascii="Times New Roman" w:eastAsia="Malgun Gothic" w:hAnsi="Times New Roman" w:cs="Batang"/>
      <w:sz w:val="20"/>
      <w:szCs w:val="20"/>
      <w:lang w:val="en-GB"/>
    </w:rPr>
  </w:style>
  <w:style w:type="paragraph" w:customStyle="1" w:styleId="TAL">
    <w:name w:val="TAL"/>
    <w:basedOn w:val="Normal"/>
    <w:rsid w:val="00262836"/>
    <w:pPr>
      <w:keepNext/>
      <w:keepLines/>
      <w:spacing w:after="0"/>
    </w:pPr>
    <w:rPr>
      <w:rFonts w:ascii="Calibri" w:eastAsia="Times New Roman" w:hAnsi="Calibri"/>
      <w:sz w:val="18"/>
      <w:lang w:val="en-GB"/>
    </w:rPr>
  </w:style>
  <w:style w:type="paragraph" w:customStyle="1" w:styleId="TAC">
    <w:name w:val="TAC"/>
    <w:basedOn w:val="TAL"/>
    <w:rsid w:val="00262836"/>
    <w:pPr>
      <w:jc w:val="center"/>
    </w:pPr>
  </w:style>
  <w:style w:type="paragraph" w:customStyle="1" w:styleId="TAH">
    <w:name w:val="TAH"/>
    <w:basedOn w:val="TAC"/>
    <w:rsid w:val="00262836"/>
    <w:rPr>
      <w:b/>
    </w:rPr>
  </w:style>
  <w:style w:type="paragraph" w:styleId="TOC1">
    <w:name w:val="toc 1"/>
    <w:aliases w:val="Observation TOC2"/>
    <w:uiPriority w:val="39"/>
    <w:rsid w:val="008B0ED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customStyle="1" w:styleId="Figure">
    <w:name w:val="Figure"/>
    <w:basedOn w:val="Normal"/>
    <w:next w:val="Caption"/>
    <w:rsid w:val="008B0ED9"/>
    <w:pPr>
      <w:keepNext/>
      <w:keepLines/>
      <w:spacing w:before="180" w:after="120"/>
      <w:jc w:val="center"/>
    </w:pPr>
    <w:rPr>
      <w:rFonts w:ascii="Calibri" w:eastAsia="Times New Roman" w:hAnsi="Calibri"/>
      <w:sz w:val="24"/>
      <w:lang w:val="en-GB" w:eastAsia="zh-CN"/>
    </w:rPr>
  </w:style>
  <w:style w:type="character" w:customStyle="1" w:styleId="DocumentMapChar">
    <w:name w:val="Document Map Char"/>
    <w:basedOn w:val="DefaultParagraphFont"/>
    <w:link w:val="DocumentMap"/>
    <w:semiHidden/>
    <w:rsid w:val="008B0ED9"/>
    <w:rPr>
      <w:rFonts w:ascii="Tahoma" w:eastAsia="Times New Roman" w:hAnsi="Tahoma" w:cs="Tahoma"/>
      <w:sz w:val="24"/>
      <w:szCs w:val="20"/>
      <w:shd w:val="clear" w:color="auto" w:fill="000080"/>
      <w:lang w:val="en-GB" w:eastAsia="zh-CN"/>
    </w:rPr>
  </w:style>
  <w:style w:type="paragraph" w:styleId="DocumentMap">
    <w:name w:val="Document Map"/>
    <w:basedOn w:val="Normal"/>
    <w:link w:val="DocumentMapChar"/>
    <w:semiHidden/>
    <w:rsid w:val="008B0ED9"/>
    <w:pPr>
      <w:shd w:val="clear" w:color="auto" w:fill="000080"/>
      <w:spacing w:after="120"/>
      <w:jc w:val="both"/>
    </w:pPr>
    <w:rPr>
      <w:rFonts w:ascii="Tahoma" w:eastAsia="Times New Roman" w:hAnsi="Tahoma" w:cs="Tahoma"/>
      <w:sz w:val="24"/>
      <w:lang w:val="en-GB" w:eastAsia="zh-CN"/>
    </w:rPr>
  </w:style>
  <w:style w:type="paragraph" w:styleId="ListNumber2">
    <w:name w:val="List Number 2"/>
    <w:basedOn w:val="ListNumber"/>
    <w:rsid w:val="008B0ED9"/>
    <w:pPr>
      <w:ind w:left="851"/>
    </w:pPr>
  </w:style>
  <w:style w:type="paragraph" w:styleId="ListNumber">
    <w:name w:val="List Number"/>
    <w:basedOn w:val="List"/>
    <w:rsid w:val="008B0ED9"/>
  </w:style>
  <w:style w:type="paragraph" w:styleId="List">
    <w:name w:val="List"/>
    <w:basedOn w:val="Normal"/>
    <w:rsid w:val="008B0ED9"/>
    <w:pPr>
      <w:spacing w:after="120"/>
      <w:ind w:left="568" w:hanging="284"/>
      <w:jc w:val="both"/>
    </w:pPr>
    <w:rPr>
      <w:rFonts w:ascii="Calibri" w:eastAsia="Times New Roman" w:hAnsi="Calibri"/>
      <w:sz w:val="24"/>
      <w:lang w:val="en-GB" w:eastAsia="zh-CN"/>
    </w:rPr>
  </w:style>
  <w:style w:type="character" w:customStyle="1" w:styleId="FootnoteTextChar">
    <w:name w:val="Footnote Text Char"/>
    <w:basedOn w:val="DefaultParagraphFont"/>
    <w:link w:val="FootnoteText"/>
    <w:semiHidden/>
    <w:rsid w:val="008B0ED9"/>
    <w:rPr>
      <w:rFonts w:ascii="Calibri" w:eastAsia="Times New Roman" w:hAnsi="Calibri" w:cs="Times New Roman"/>
      <w:sz w:val="16"/>
      <w:szCs w:val="16"/>
      <w:lang w:val="en-GB" w:eastAsia="zh-CN"/>
    </w:rPr>
  </w:style>
  <w:style w:type="paragraph" w:styleId="FootnoteText">
    <w:name w:val="footnote text"/>
    <w:basedOn w:val="Normal"/>
    <w:link w:val="FootnoteTextChar"/>
    <w:semiHidden/>
    <w:rsid w:val="008B0ED9"/>
    <w:pPr>
      <w:keepLines/>
      <w:spacing w:after="0"/>
      <w:ind w:left="454" w:hanging="454"/>
      <w:jc w:val="both"/>
    </w:pPr>
    <w:rPr>
      <w:rFonts w:ascii="Calibri" w:eastAsia="Times New Roman" w:hAnsi="Calibri"/>
      <w:sz w:val="16"/>
      <w:szCs w:val="16"/>
      <w:lang w:val="en-GB" w:eastAsia="zh-CN"/>
    </w:rPr>
  </w:style>
  <w:style w:type="paragraph" w:customStyle="1" w:styleId="3GPPHeader">
    <w:name w:val="3GPP_Header"/>
    <w:basedOn w:val="Normal"/>
    <w:rsid w:val="008B0ED9"/>
    <w:pPr>
      <w:tabs>
        <w:tab w:val="left" w:pos="1701"/>
        <w:tab w:val="right" w:pos="9639"/>
      </w:tabs>
      <w:spacing w:after="240"/>
      <w:jc w:val="both"/>
    </w:pPr>
    <w:rPr>
      <w:rFonts w:ascii="Calibri" w:eastAsia="Times New Roman" w:hAnsi="Calibri"/>
      <w:b/>
      <w:sz w:val="24"/>
      <w:lang w:val="en-GB" w:eastAsia="zh-CN"/>
    </w:rPr>
  </w:style>
  <w:style w:type="paragraph" w:styleId="ListBullet2">
    <w:name w:val="List Bullet 2"/>
    <w:basedOn w:val="ListBullet"/>
    <w:rsid w:val="008B0ED9"/>
    <w:pPr>
      <w:numPr>
        <w:numId w:val="12"/>
      </w:numPr>
    </w:pPr>
  </w:style>
  <w:style w:type="paragraph" w:styleId="ListBullet">
    <w:name w:val="List Bullet"/>
    <w:basedOn w:val="BodyText"/>
    <w:rsid w:val="008B0ED9"/>
    <w:pPr>
      <w:numPr>
        <w:numId w:val="11"/>
      </w:numPr>
    </w:pPr>
  </w:style>
  <w:style w:type="paragraph" w:styleId="BodyText">
    <w:name w:val="Body Text"/>
    <w:basedOn w:val="Normal"/>
    <w:link w:val="BodyTextChar"/>
    <w:rsid w:val="008B0ED9"/>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8B0ED9"/>
    <w:rPr>
      <w:rFonts w:ascii="Calibri" w:eastAsia="Times New Roman" w:hAnsi="Calibri" w:cs="Times New Roman"/>
      <w:sz w:val="24"/>
      <w:szCs w:val="20"/>
      <w:lang w:val="en-GB" w:eastAsia="zh-CN"/>
    </w:rPr>
  </w:style>
  <w:style w:type="paragraph" w:styleId="ListBullet3">
    <w:name w:val="List Bullet 3"/>
    <w:basedOn w:val="ListBullet2"/>
    <w:rsid w:val="008B0ED9"/>
    <w:pPr>
      <w:numPr>
        <w:numId w:val="13"/>
      </w:numPr>
    </w:pPr>
  </w:style>
  <w:style w:type="paragraph" w:customStyle="1" w:styleId="EQ">
    <w:name w:val="EQ"/>
    <w:basedOn w:val="Normal"/>
    <w:next w:val="Normal"/>
    <w:rsid w:val="008B0ED9"/>
    <w:pPr>
      <w:keepLines/>
      <w:tabs>
        <w:tab w:val="center" w:pos="4536"/>
        <w:tab w:val="right" w:pos="9072"/>
      </w:tabs>
    </w:pPr>
    <w:rPr>
      <w:rFonts w:ascii="Calibri" w:eastAsia="Times New Roman" w:hAnsi="Calibri"/>
      <w:noProof/>
      <w:sz w:val="24"/>
      <w:lang w:val="en-GB"/>
    </w:rPr>
  </w:style>
  <w:style w:type="paragraph" w:styleId="List2">
    <w:name w:val="List 2"/>
    <w:basedOn w:val="List"/>
    <w:rsid w:val="008B0ED9"/>
    <w:pPr>
      <w:ind w:left="851"/>
    </w:pPr>
  </w:style>
  <w:style w:type="paragraph" w:styleId="List3">
    <w:name w:val="List 3"/>
    <w:basedOn w:val="List2"/>
    <w:rsid w:val="008B0ED9"/>
    <w:pPr>
      <w:ind w:left="1135"/>
    </w:pPr>
  </w:style>
  <w:style w:type="paragraph" w:styleId="List4">
    <w:name w:val="List 4"/>
    <w:basedOn w:val="List3"/>
    <w:rsid w:val="008B0ED9"/>
    <w:pPr>
      <w:ind w:left="1418"/>
    </w:pPr>
  </w:style>
  <w:style w:type="paragraph" w:styleId="List5">
    <w:name w:val="List 5"/>
    <w:basedOn w:val="List4"/>
    <w:rsid w:val="008B0ED9"/>
    <w:pPr>
      <w:ind w:left="1702"/>
    </w:pPr>
  </w:style>
  <w:style w:type="paragraph" w:customStyle="1" w:styleId="EditorsNote">
    <w:name w:val="Editor's Note"/>
    <w:basedOn w:val="Normal"/>
    <w:rsid w:val="008B0ED9"/>
    <w:pPr>
      <w:keepLines/>
      <w:ind w:left="1135" w:hanging="851"/>
    </w:pPr>
    <w:rPr>
      <w:rFonts w:ascii="Calibri" w:eastAsia="Times New Roman" w:hAnsi="Calibri"/>
      <w:color w:val="FF0000"/>
      <w:sz w:val="24"/>
      <w:lang w:val="en-GB"/>
    </w:rPr>
  </w:style>
  <w:style w:type="paragraph" w:styleId="ListBullet4">
    <w:name w:val="List Bullet 4"/>
    <w:basedOn w:val="ListBullet3"/>
    <w:rsid w:val="008B0ED9"/>
    <w:pPr>
      <w:numPr>
        <w:numId w:val="14"/>
      </w:numPr>
    </w:pPr>
  </w:style>
  <w:style w:type="paragraph" w:styleId="ListBullet5">
    <w:name w:val="List Bullet 5"/>
    <w:basedOn w:val="ListBullet4"/>
    <w:rsid w:val="008B0ED9"/>
    <w:pPr>
      <w:numPr>
        <w:numId w:val="10"/>
      </w:numPr>
    </w:pPr>
  </w:style>
  <w:style w:type="paragraph" w:customStyle="1" w:styleId="Reference">
    <w:name w:val="Reference"/>
    <w:basedOn w:val="Normal"/>
    <w:link w:val="ReferenceChar"/>
    <w:qFormat/>
    <w:rsid w:val="008B0ED9"/>
    <w:pPr>
      <w:numPr>
        <w:numId w:val="9"/>
      </w:numPr>
      <w:spacing w:after="120"/>
      <w:jc w:val="both"/>
    </w:pPr>
    <w:rPr>
      <w:rFonts w:ascii="Calibri" w:eastAsia="Times New Roman" w:hAnsi="Calibri"/>
      <w:sz w:val="24"/>
      <w:lang w:val="en-GB" w:eastAsia="zh-CN"/>
    </w:rPr>
  </w:style>
  <w:style w:type="character" w:customStyle="1" w:styleId="ReferenceChar">
    <w:name w:val="Reference Char"/>
    <w:link w:val="Reference"/>
    <w:rsid w:val="008B0ED9"/>
    <w:rPr>
      <w:rFonts w:ascii="Calibri" w:eastAsia="Times New Roman" w:hAnsi="Calibri" w:cs="Times New Roman"/>
      <w:sz w:val="24"/>
      <w:szCs w:val="20"/>
      <w:lang w:val="en-GB" w:eastAsia="zh-CN"/>
    </w:rPr>
  </w:style>
  <w:style w:type="character" w:customStyle="1" w:styleId="CommentTextChar">
    <w:name w:val="Comment Text Char"/>
    <w:basedOn w:val="DefaultParagraphFont"/>
    <w:link w:val="CommentText"/>
    <w:semiHidden/>
    <w:rsid w:val="008B0ED9"/>
    <w:rPr>
      <w:rFonts w:ascii="Calibri" w:eastAsia="Times New Roman" w:hAnsi="Calibri" w:cs="Times New Roman"/>
      <w:sz w:val="24"/>
      <w:szCs w:val="20"/>
      <w:lang w:val="en-GB" w:eastAsia="zh-CN"/>
    </w:rPr>
  </w:style>
  <w:style w:type="paragraph" w:styleId="CommentText">
    <w:name w:val="annotation text"/>
    <w:basedOn w:val="Normal"/>
    <w:link w:val="CommentTextChar"/>
    <w:semiHidden/>
    <w:rsid w:val="008B0ED9"/>
    <w:pPr>
      <w:spacing w:after="120"/>
      <w:jc w:val="both"/>
    </w:pPr>
    <w:rPr>
      <w:rFonts w:ascii="Calibri" w:eastAsia="Times New Roman" w:hAnsi="Calibri"/>
      <w:sz w:val="24"/>
      <w:lang w:val="en-GB" w:eastAsia="zh-CN"/>
    </w:rPr>
  </w:style>
  <w:style w:type="character" w:customStyle="1" w:styleId="CommentSubjectChar">
    <w:name w:val="Comment Subject Char"/>
    <w:basedOn w:val="CommentTextChar"/>
    <w:link w:val="CommentSubject"/>
    <w:semiHidden/>
    <w:rsid w:val="008B0ED9"/>
    <w:rPr>
      <w:rFonts w:ascii="Calibri" w:eastAsia="Times New Roman" w:hAnsi="Calibri" w:cs="Times New Roman"/>
      <w:b/>
      <w:bCs/>
      <w:sz w:val="24"/>
      <w:szCs w:val="20"/>
      <w:lang w:val="en-GB" w:eastAsia="zh-CN"/>
    </w:rPr>
  </w:style>
  <w:style w:type="paragraph" w:styleId="CommentSubject">
    <w:name w:val="annotation subject"/>
    <w:basedOn w:val="CommentText"/>
    <w:next w:val="CommentText"/>
    <w:link w:val="CommentSubjectChar"/>
    <w:semiHidden/>
    <w:rsid w:val="008B0ED9"/>
    <w:rPr>
      <w:b/>
      <w:bCs/>
    </w:rPr>
  </w:style>
  <w:style w:type="paragraph" w:customStyle="1" w:styleId="B1">
    <w:name w:val="B1"/>
    <w:basedOn w:val="List"/>
    <w:link w:val="B1Zchn"/>
    <w:rsid w:val="008B0ED9"/>
    <w:pPr>
      <w:spacing w:after="180"/>
      <w:jc w:val="left"/>
    </w:pPr>
    <w:rPr>
      <w:lang w:eastAsia="en-US"/>
    </w:rPr>
  </w:style>
  <w:style w:type="character" w:customStyle="1" w:styleId="B1Zchn">
    <w:name w:val="B1 Zchn"/>
    <w:link w:val="B1"/>
    <w:locked/>
    <w:rsid w:val="008B0ED9"/>
    <w:rPr>
      <w:rFonts w:ascii="Calibri" w:eastAsia="Times New Roman" w:hAnsi="Calibri" w:cs="Times New Roman"/>
      <w:sz w:val="24"/>
      <w:szCs w:val="20"/>
      <w:lang w:val="en-GB"/>
    </w:rPr>
  </w:style>
  <w:style w:type="paragraph" w:customStyle="1" w:styleId="B2">
    <w:name w:val="B2"/>
    <w:basedOn w:val="List2"/>
    <w:rsid w:val="008B0ED9"/>
    <w:pPr>
      <w:spacing w:after="180"/>
      <w:jc w:val="left"/>
    </w:pPr>
    <w:rPr>
      <w:lang w:eastAsia="en-US"/>
    </w:rPr>
  </w:style>
  <w:style w:type="paragraph" w:customStyle="1" w:styleId="B3">
    <w:name w:val="B3"/>
    <w:basedOn w:val="List3"/>
    <w:rsid w:val="008B0ED9"/>
    <w:pPr>
      <w:spacing w:after="180"/>
      <w:jc w:val="left"/>
    </w:pPr>
    <w:rPr>
      <w:lang w:eastAsia="en-US"/>
    </w:rPr>
  </w:style>
  <w:style w:type="paragraph" w:customStyle="1" w:styleId="B4">
    <w:name w:val="B4"/>
    <w:basedOn w:val="List4"/>
    <w:rsid w:val="008B0ED9"/>
    <w:pPr>
      <w:spacing w:after="180"/>
      <w:jc w:val="left"/>
    </w:pPr>
    <w:rPr>
      <w:lang w:eastAsia="en-US"/>
    </w:rPr>
  </w:style>
  <w:style w:type="paragraph" w:customStyle="1" w:styleId="Proposal">
    <w:name w:val="Proposal"/>
    <w:basedOn w:val="Normal"/>
    <w:rsid w:val="008B0ED9"/>
    <w:pPr>
      <w:numPr>
        <w:numId w:val="17"/>
      </w:numPr>
      <w:tabs>
        <w:tab w:val="left" w:pos="1701"/>
      </w:tabs>
      <w:spacing w:after="120"/>
      <w:jc w:val="both"/>
    </w:pPr>
    <w:rPr>
      <w:rFonts w:ascii="Calibri" w:eastAsia="Times New Roman" w:hAnsi="Calibri"/>
      <w:b/>
      <w:bCs/>
      <w:sz w:val="24"/>
      <w:lang w:val="en-GB" w:eastAsia="zh-CN"/>
    </w:rPr>
  </w:style>
  <w:style w:type="paragraph" w:customStyle="1" w:styleId="B5">
    <w:name w:val="B5"/>
    <w:basedOn w:val="List5"/>
    <w:rsid w:val="008B0ED9"/>
    <w:pPr>
      <w:spacing w:after="180"/>
      <w:jc w:val="left"/>
    </w:pPr>
    <w:rPr>
      <w:lang w:eastAsia="en-US"/>
    </w:rPr>
  </w:style>
  <w:style w:type="paragraph" w:customStyle="1" w:styleId="EX">
    <w:name w:val="EX"/>
    <w:basedOn w:val="Normal"/>
    <w:rsid w:val="008B0ED9"/>
    <w:pPr>
      <w:keepLines/>
      <w:ind w:left="1702" w:hanging="1418"/>
    </w:pPr>
    <w:rPr>
      <w:rFonts w:ascii="Calibri" w:eastAsia="Times New Roman" w:hAnsi="Calibri"/>
      <w:sz w:val="24"/>
      <w:lang w:val="en-GB"/>
    </w:rPr>
  </w:style>
  <w:style w:type="paragraph" w:customStyle="1" w:styleId="EW">
    <w:name w:val="EW"/>
    <w:basedOn w:val="EX"/>
    <w:rsid w:val="008B0ED9"/>
    <w:pPr>
      <w:spacing w:after="0"/>
    </w:pPr>
  </w:style>
  <w:style w:type="paragraph" w:customStyle="1" w:styleId="TAN">
    <w:name w:val="TAN"/>
    <w:basedOn w:val="TAL"/>
    <w:rsid w:val="008B0ED9"/>
    <w:pPr>
      <w:ind w:left="851" w:hanging="851"/>
    </w:pPr>
  </w:style>
  <w:style w:type="paragraph" w:customStyle="1" w:styleId="TAR">
    <w:name w:val="TAR"/>
    <w:basedOn w:val="TAL"/>
    <w:rsid w:val="008B0ED9"/>
    <w:pPr>
      <w:jc w:val="right"/>
    </w:pPr>
  </w:style>
  <w:style w:type="paragraph" w:customStyle="1" w:styleId="TH">
    <w:name w:val="TH"/>
    <w:basedOn w:val="Normal"/>
    <w:rsid w:val="008B0ED9"/>
    <w:pPr>
      <w:keepNext/>
      <w:keepLines/>
      <w:spacing w:before="60"/>
      <w:jc w:val="center"/>
    </w:pPr>
    <w:rPr>
      <w:rFonts w:ascii="Calibri" w:eastAsia="Times New Roman" w:hAnsi="Calibri"/>
      <w:b/>
      <w:sz w:val="24"/>
      <w:lang w:val="en-GB"/>
    </w:rPr>
  </w:style>
  <w:style w:type="paragraph" w:customStyle="1" w:styleId="TF">
    <w:name w:val="TF"/>
    <w:aliases w:val="left"/>
    <w:basedOn w:val="TH"/>
    <w:link w:val="TFChar"/>
    <w:rsid w:val="008B0ED9"/>
    <w:pPr>
      <w:keepNext w:val="0"/>
      <w:spacing w:before="0" w:after="240"/>
    </w:pPr>
  </w:style>
  <w:style w:type="character" w:customStyle="1" w:styleId="TFChar">
    <w:name w:val="TF Char"/>
    <w:link w:val="TF"/>
    <w:rsid w:val="008B0ED9"/>
    <w:rPr>
      <w:rFonts w:ascii="Calibri" w:eastAsia="Times New Roman" w:hAnsi="Calibri" w:cs="Times New Roman"/>
      <w:b/>
      <w:sz w:val="24"/>
      <w:szCs w:val="20"/>
      <w:lang w:val="en-GB"/>
    </w:rPr>
  </w:style>
  <w:style w:type="paragraph" w:customStyle="1" w:styleId="TT">
    <w:name w:val="TT"/>
    <w:basedOn w:val="Heading1"/>
    <w:next w:val="Normal"/>
    <w:rsid w:val="008B0ED9"/>
    <w:pPr>
      <w:numPr>
        <w:numId w:val="0"/>
      </w:numPr>
      <w:spacing w:before="360"/>
      <w:ind w:left="1134" w:hanging="1134"/>
      <w:outlineLvl w:val="9"/>
    </w:pPr>
    <w:rPr>
      <w:rFonts w:eastAsia="Times New Roman"/>
    </w:rPr>
  </w:style>
  <w:style w:type="paragraph" w:customStyle="1" w:styleId="ZA">
    <w:name w:val="ZA"/>
    <w:rsid w:val="008B0ED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8B0ED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8B0ED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8B0ED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8B0ED9"/>
  </w:style>
  <w:style w:type="paragraph" w:customStyle="1" w:styleId="ZH">
    <w:name w:val="ZH"/>
    <w:rsid w:val="008B0ED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8B0ED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8B0ED9"/>
    <w:pPr>
      <w:framePr w:hRule="auto" w:wrap="notBeside" w:y="852"/>
    </w:pPr>
    <w:rPr>
      <w:i w:val="0"/>
      <w:sz w:val="40"/>
    </w:rPr>
  </w:style>
  <w:style w:type="paragraph" w:customStyle="1" w:styleId="ZU">
    <w:name w:val="ZU"/>
    <w:rsid w:val="008B0ED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8B0ED9"/>
    <w:pPr>
      <w:framePr w:wrap="notBeside" w:y="16161"/>
    </w:pPr>
  </w:style>
  <w:style w:type="paragraph" w:customStyle="1" w:styleId="FP">
    <w:name w:val="FP"/>
    <w:basedOn w:val="Normal"/>
    <w:rsid w:val="008B0ED9"/>
    <w:pPr>
      <w:spacing w:after="0"/>
    </w:pPr>
    <w:rPr>
      <w:rFonts w:ascii="Calibri" w:eastAsia="Times New Roman" w:hAnsi="Calibri"/>
      <w:sz w:val="24"/>
      <w:lang w:val="en-GB"/>
    </w:rPr>
  </w:style>
  <w:style w:type="paragraph" w:customStyle="1" w:styleId="Observation">
    <w:name w:val="Observation"/>
    <w:basedOn w:val="Proposal"/>
    <w:qFormat/>
    <w:rsid w:val="008B0ED9"/>
    <w:pPr>
      <w:numPr>
        <w:numId w:val="15"/>
      </w:numPr>
      <w:ind w:left="1701" w:hanging="1701"/>
    </w:pPr>
  </w:style>
  <w:style w:type="paragraph" w:styleId="TableofFigures">
    <w:name w:val="table of figures"/>
    <w:basedOn w:val="Normal"/>
    <w:next w:val="Normal"/>
    <w:uiPriority w:val="99"/>
    <w:rsid w:val="008B0ED9"/>
    <w:pPr>
      <w:spacing w:after="120"/>
      <w:ind w:left="1418" w:hanging="1418"/>
    </w:pPr>
    <w:rPr>
      <w:rFonts w:ascii="Calibri" w:eastAsia="Times New Roman" w:hAnsi="Calibri"/>
      <w:b/>
      <w:sz w:val="24"/>
      <w:lang w:val="en-GB" w:eastAsia="zh-CN"/>
    </w:rPr>
  </w:style>
  <w:style w:type="paragraph" w:customStyle="1" w:styleId="references0">
    <w:name w:val="references"/>
    <w:uiPriority w:val="99"/>
    <w:rsid w:val="008B0ED9"/>
    <w:pPr>
      <w:numPr>
        <w:numId w:val="16"/>
      </w:numPr>
      <w:spacing w:after="0" w:line="240" w:lineRule="auto"/>
      <w:ind w:left="357"/>
      <w:jc w:val="both"/>
    </w:pPr>
    <w:rPr>
      <w:rFonts w:ascii="Times New Roman" w:eastAsia="MS Mincho" w:hAnsi="Times New Roman" w:cs="Times New Roman"/>
      <w:noProof/>
      <w:sz w:val="24"/>
      <w:szCs w:val="24"/>
    </w:rPr>
  </w:style>
  <w:style w:type="paragraph" w:styleId="BlockText">
    <w:name w:val="Block Text"/>
    <w:basedOn w:val="Normal"/>
    <w:rsid w:val="008B0ED9"/>
    <w:pPr>
      <w:spacing w:after="120"/>
      <w:ind w:left="1440" w:right="1440"/>
      <w:jc w:val="both"/>
    </w:pPr>
    <w:rPr>
      <w:rFonts w:ascii="Calibri" w:eastAsia="Times New Roman" w:hAnsi="Calibri"/>
      <w:sz w:val="24"/>
      <w:lang w:val="en-GB" w:eastAsia="zh-CN"/>
    </w:rPr>
  </w:style>
  <w:style w:type="paragraph" w:styleId="BodyTextFirstIndent">
    <w:name w:val="Body Text First Indent"/>
    <w:basedOn w:val="BodyText"/>
    <w:link w:val="BodyTextFirstIndentChar"/>
    <w:rsid w:val="008B0ED9"/>
    <w:pPr>
      <w:ind w:firstLine="210"/>
    </w:pPr>
  </w:style>
  <w:style w:type="character" w:customStyle="1" w:styleId="BodyTextFirstIndentChar">
    <w:name w:val="Body Text First Indent Char"/>
    <w:basedOn w:val="BodyTextChar"/>
    <w:link w:val="BodyTextFirstIndent"/>
    <w:rsid w:val="008B0ED9"/>
    <w:rPr>
      <w:rFonts w:ascii="Calibri" w:eastAsia="Times New Roman" w:hAnsi="Calibri" w:cs="Times New Roman"/>
      <w:sz w:val="24"/>
      <w:szCs w:val="20"/>
      <w:lang w:val="en-GB" w:eastAsia="zh-CN"/>
    </w:rPr>
  </w:style>
  <w:style w:type="paragraph" w:styleId="BodyTextIndent3">
    <w:name w:val="Body Text Indent 3"/>
    <w:basedOn w:val="Normal"/>
    <w:link w:val="BodyTextIndent3Char"/>
    <w:rsid w:val="008B0ED9"/>
    <w:pPr>
      <w:spacing w:after="120"/>
      <w:ind w:left="283"/>
      <w:jc w:val="both"/>
    </w:pPr>
    <w:rPr>
      <w:rFonts w:ascii="Calibri" w:eastAsia="Times New Roman" w:hAnsi="Calibri"/>
      <w:sz w:val="16"/>
      <w:szCs w:val="16"/>
      <w:lang w:val="en-GB" w:eastAsia="zh-CN"/>
    </w:rPr>
  </w:style>
  <w:style w:type="character" w:customStyle="1" w:styleId="BodyTextIndent3Char">
    <w:name w:val="Body Text Indent 3 Char"/>
    <w:basedOn w:val="DefaultParagraphFont"/>
    <w:link w:val="BodyTextIndent3"/>
    <w:rsid w:val="008B0ED9"/>
    <w:rPr>
      <w:rFonts w:ascii="Calibri" w:eastAsia="Times New Roman" w:hAnsi="Calibri" w:cs="Times New Roman"/>
      <w:sz w:val="16"/>
      <w:szCs w:val="16"/>
      <w:lang w:val="en-GB" w:eastAsia="zh-CN"/>
    </w:rPr>
  </w:style>
  <w:style w:type="character" w:styleId="Strong">
    <w:name w:val="Strong"/>
    <w:basedOn w:val="DefaultParagraphFont"/>
    <w:qFormat/>
    <w:rsid w:val="008B0ED9"/>
    <w:rPr>
      <w:b/>
      <w:bCs/>
    </w:rPr>
  </w:style>
  <w:style w:type="paragraph" w:customStyle="1" w:styleId="TdocHeader2">
    <w:name w:val="Tdoc_Header_2"/>
    <w:basedOn w:val="Normal"/>
    <w:rsid w:val="008B0ED9"/>
    <w:pPr>
      <w:widowControl w:val="0"/>
      <w:tabs>
        <w:tab w:val="left" w:pos="1701"/>
        <w:tab w:val="right" w:pos="9072"/>
        <w:tab w:val="right" w:pos="10206"/>
      </w:tabs>
      <w:overflowPunct/>
      <w:autoSpaceDE/>
      <w:autoSpaceDN/>
      <w:adjustRightInd/>
      <w:spacing w:after="0"/>
      <w:jc w:val="both"/>
      <w:textAlignment w:val="auto"/>
    </w:pPr>
    <w:rPr>
      <w:rFonts w:ascii="Calibri" w:eastAsia="Batang" w:hAnsi="Calibri"/>
      <w:b/>
      <w:sz w:val="18"/>
      <w:lang w:val="en-GB"/>
    </w:rPr>
  </w:style>
  <w:style w:type="paragraph" w:customStyle="1" w:styleId="NO">
    <w:name w:val="NO"/>
    <w:basedOn w:val="Normal"/>
    <w:link w:val="NOZchn"/>
    <w:rsid w:val="008B0ED9"/>
    <w:pPr>
      <w:keepLines/>
      <w:ind w:left="1135" w:hanging="851"/>
    </w:pPr>
    <w:rPr>
      <w:rFonts w:eastAsia="Times New Roman"/>
      <w:color w:val="000000"/>
      <w:sz w:val="24"/>
      <w:lang w:val="en-GB" w:eastAsia="ja-JP"/>
    </w:rPr>
  </w:style>
  <w:style w:type="character" w:customStyle="1" w:styleId="NOZchn">
    <w:name w:val="NO Zchn"/>
    <w:link w:val="NO"/>
    <w:rsid w:val="008B0ED9"/>
    <w:rPr>
      <w:rFonts w:ascii="Times New Roman" w:eastAsia="Times New Roman" w:hAnsi="Times New Roman" w:cs="Times New Roman"/>
      <w:color w:val="000000"/>
      <w:sz w:val="24"/>
      <w:szCs w:val="20"/>
      <w:lang w:val="en-GB" w:eastAsia="ja-JP"/>
    </w:rPr>
  </w:style>
  <w:style w:type="paragraph" w:customStyle="1" w:styleId="Guidance">
    <w:name w:val="Guidance"/>
    <w:basedOn w:val="Normal"/>
    <w:rsid w:val="008B0ED9"/>
    <w:pPr>
      <w:overflowPunct/>
      <w:autoSpaceDE/>
      <w:autoSpaceDN/>
      <w:adjustRightInd/>
      <w:textAlignment w:val="auto"/>
    </w:pPr>
    <w:rPr>
      <w:rFonts w:eastAsia="MS Mincho"/>
      <w:i/>
      <w:color w:val="0000FF"/>
      <w:sz w:val="24"/>
      <w:lang w:val="en-GB"/>
    </w:rPr>
  </w:style>
  <w:style w:type="paragraph" w:styleId="Title">
    <w:name w:val="Title"/>
    <w:basedOn w:val="Normal"/>
    <w:next w:val="Normal"/>
    <w:link w:val="TitleChar"/>
    <w:qFormat/>
    <w:rsid w:val="008B0ED9"/>
    <w:pPr>
      <w:spacing w:after="300"/>
      <w:contextualSpacing/>
      <w:jc w:val="both"/>
    </w:pPr>
    <w:rPr>
      <w:rFonts w:ascii="Calibri" w:eastAsiaTheme="majorEastAsia" w:hAnsi="Calibri" w:cstheme="majorBidi"/>
      <w:color w:val="323E4F" w:themeColor="text2" w:themeShade="BF"/>
      <w:spacing w:val="5"/>
      <w:kern w:val="28"/>
      <w:sz w:val="44"/>
      <w:szCs w:val="52"/>
      <w:lang w:val="en-GB" w:eastAsia="zh-CN"/>
    </w:rPr>
  </w:style>
  <w:style w:type="character" w:customStyle="1" w:styleId="TitleChar">
    <w:name w:val="Title Char"/>
    <w:basedOn w:val="DefaultParagraphFont"/>
    <w:link w:val="Title"/>
    <w:rsid w:val="008B0ED9"/>
    <w:rPr>
      <w:rFonts w:ascii="Calibri" w:eastAsiaTheme="majorEastAsia" w:hAnsi="Calibri" w:cstheme="majorBidi"/>
      <w:color w:val="323E4F" w:themeColor="text2" w:themeShade="BF"/>
      <w:spacing w:val="5"/>
      <w:kern w:val="28"/>
      <w:sz w:val="44"/>
      <w:szCs w:val="52"/>
      <w:lang w:val="en-GB" w:eastAsia="zh-CN"/>
    </w:rPr>
  </w:style>
  <w:style w:type="character" w:customStyle="1" w:styleId="MTEquationSection">
    <w:name w:val="MTEquationSection"/>
    <w:basedOn w:val="DefaultParagraphFont"/>
    <w:rsid w:val="008B0ED9"/>
    <w:rPr>
      <w:vanish/>
      <w:color w:val="FF0000"/>
      <w:lang w:eastAsia="ja-JP"/>
    </w:rPr>
  </w:style>
  <w:style w:type="paragraph" w:customStyle="1" w:styleId="MTDisplayEquation">
    <w:name w:val="MTDisplayEquation"/>
    <w:basedOn w:val="Normal"/>
    <w:next w:val="Normal"/>
    <w:link w:val="MTDisplayEquationChar"/>
    <w:rsid w:val="008B0ED9"/>
    <w:pPr>
      <w:tabs>
        <w:tab w:val="center" w:pos="4820"/>
        <w:tab w:val="right" w:pos="9640"/>
      </w:tabs>
      <w:spacing w:after="120"/>
      <w:jc w:val="both"/>
    </w:pPr>
    <w:rPr>
      <w:rFonts w:ascii="Calibri" w:eastAsia="Times New Roman" w:hAnsi="Calibri"/>
      <w:sz w:val="24"/>
      <w:lang w:eastAsia="zh-CN"/>
    </w:rPr>
  </w:style>
  <w:style w:type="character" w:customStyle="1" w:styleId="MTDisplayEquationChar">
    <w:name w:val="MTDisplayEquation Char"/>
    <w:basedOn w:val="DefaultParagraphFont"/>
    <w:link w:val="MTDisplayEquation"/>
    <w:rsid w:val="008B0ED9"/>
    <w:rPr>
      <w:rFonts w:ascii="Calibri" w:eastAsia="Times New Roman" w:hAnsi="Calibri" w:cs="Times New Roman"/>
      <w:sz w:val="24"/>
      <w:szCs w:val="20"/>
      <w:lang w:eastAsia="zh-CN"/>
    </w:rPr>
  </w:style>
  <w:style w:type="character" w:customStyle="1" w:styleId="apple-converted-space">
    <w:name w:val="apple-converted-space"/>
    <w:basedOn w:val="DefaultParagraphFont"/>
    <w:rsid w:val="008B0ED9"/>
  </w:style>
  <w:style w:type="character" w:styleId="PlaceholderText">
    <w:name w:val="Placeholder Text"/>
    <w:basedOn w:val="DefaultParagraphFont"/>
    <w:uiPriority w:val="99"/>
    <w:semiHidden/>
    <w:rsid w:val="000A5A36"/>
    <w:rPr>
      <w:color w:val="808080"/>
    </w:rPr>
  </w:style>
  <w:style w:type="table" w:styleId="GridTable6Colorful-Accent1">
    <w:name w:val="Grid Table 6 Colorful Accent 1"/>
    <w:basedOn w:val="TableNormal"/>
    <w:uiPriority w:val="51"/>
    <w:rsid w:val="00C97249"/>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aintextChar">
    <w:name w:val="main text Char"/>
    <w:basedOn w:val="DefaultParagraphFont"/>
    <w:link w:val="maintext"/>
    <w:locked/>
    <w:rsid w:val="001E6B93"/>
    <w:rPr>
      <w:rFonts w:ascii="Malgun Gothic" w:eastAsia="Malgun Gothic" w:hAnsi="Malgun Gothic"/>
      <w:lang w:eastAsia="ko-KR"/>
    </w:rPr>
  </w:style>
  <w:style w:type="paragraph" w:customStyle="1" w:styleId="maintext">
    <w:name w:val="main text"/>
    <w:basedOn w:val="Normal"/>
    <w:link w:val="maintextChar"/>
    <w:rsid w:val="001E6B93"/>
    <w:pPr>
      <w:overflowPunct/>
      <w:autoSpaceDE/>
      <w:autoSpaceDN/>
      <w:adjustRightInd/>
      <w:spacing w:before="60" w:after="60" w:line="288" w:lineRule="auto"/>
      <w:ind w:firstLine="200"/>
      <w:jc w:val="both"/>
      <w:textAlignment w:val="auto"/>
    </w:pPr>
    <w:rPr>
      <w:rFonts w:ascii="Malgun Gothic" w:eastAsia="Malgun Gothic" w:hAnsi="Malgun Gothic" w:cstheme="minorBid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54342">
      <w:bodyDiv w:val="1"/>
      <w:marLeft w:val="0"/>
      <w:marRight w:val="0"/>
      <w:marTop w:val="0"/>
      <w:marBottom w:val="0"/>
      <w:divBdr>
        <w:top w:val="none" w:sz="0" w:space="0" w:color="auto"/>
        <w:left w:val="none" w:sz="0" w:space="0" w:color="auto"/>
        <w:bottom w:val="none" w:sz="0" w:space="0" w:color="auto"/>
        <w:right w:val="none" w:sz="0" w:space="0" w:color="auto"/>
      </w:divBdr>
    </w:div>
    <w:div w:id="290745490">
      <w:bodyDiv w:val="1"/>
      <w:marLeft w:val="0"/>
      <w:marRight w:val="0"/>
      <w:marTop w:val="0"/>
      <w:marBottom w:val="0"/>
      <w:divBdr>
        <w:top w:val="none" w:sz="0" w:space="0" w:color="auto"/>
        <w:left w:val="none" w:sz="0" w:space="0" w:color="auto"/>
        <w:bottom w:val="none" w:sz="0" w:space="0" w:color="auto"/>
        <w:right w:val="none" w:sz="0" w:space="0" w:color="auto"/>
      </w:divBdr>
    </w:div>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77842734">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B5C76-DEE2-42E9-BFD4-9489F54F4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1818</TotalTime>
  <Pages>7</Pages>
  <Words>1701</Words>
  <Characters>9698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11377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259</cp:revision>
  <dcterms:created xsi:type="dcterms:W3CDTF">2017-01-09T20:53:00Z</dcterms:created>
  <dcterms:modified xsi:type="dcterms:W3CDTF">2017-11-17T22:35:00Z</dcterms:modified>
</cp:coreProperties>
</file>